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A3770" w14:textId="77777777" w:rsidR="00065455" w:rsidRPr="00E76AA6" w:rsidRDefault="00065455" w:rsidP="00E76AA6">
      <w:pPr>
        <w:pStyle w:val="Nadpis-titulnstrnk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76AA6">
        <w:t>Zadávací dokumentace</w:t>
      </w:r>
    </w:p>
    <w:p w14:paraId="04DD6E7A" w14:textId="730587D1" w:rsidR="00E76AA6" w:rsidRDefault="00423CCE" w:rsidP="00E76AA6">
      <w:pPr>
        <w:jc w:val="center"/>
      </w:pPr>
      <w:r>
        <w:t xml:space="preserve">k </w:t>
      </w:r>
      <w:r w:rsidR="00DB2104">
        <w:t>pod</w:t>
      </w:r>
      <w:r w:rsidR="00E76AA6" w:rsidRPr="00AB5CDF">
        <w:t>limitní veřejné</w:t>
      </w:r>
      <w:r w:rsidR="00E76AA6" w:rsidRPr="00BE0DB1">
        <w:t xml:space="preserve"> zakázce na dodávky</w:t>
      </w:r>
    </w:p>
    <w:p w14:paraId="4F68264F" w14:textId="77777777" w:rsidR="00E655CC" w:rsidRPr="00564DE3" w:rsidRDefault="00E655CC" w:rsidP="00E655CC">
      <w:pPr>
        <w:jc w:val="center"/>
        <w:rPr>
          <w:rFonts w:ascii="Calibri Light" w:hAnsi="Calibri Light" w:cs="Calibri Light"/>
        </w:rPr>
      </w:pPr>
    </w:p>
    <w:p w14:paraId="69928820" w14:textId="3D99D339" w:rsidR="00E655CC" w:rsidRPr="00FC2C87" w:rsidRDefault="00E655CC" w:rsidP="00E655CC">
      <w:pPr>
        <w:pStyle w:val="Nadpis-titulnstrnka"/>
      </w:pPr>
      <w:r w:rsidRPr="00E76AA6">
        <w:t>„</w:t>
      </w:r>
      <w:bookmarkStart w:id="0" w:name="zakazka_jmeno"/>
      <w:r w:rsidR="00A96952" w:rsidRPr="00A96952">
        <w:t xml:space="preserve">Modernizace informačního systému </w:t>
      </w:r>
      <w:r w:rsidR="00D06F13" w:rsidRPr="00FC2C87">
        <w:t>Města Mariánské Lázně</w:t>
      </w:r>
      <w:bookmarkEnd w:id="0"/>
      <w:r w:rsidRPr="00FC2C87">
        <w:t>“</w:t>
      </w:r>
    </w:p>
    <w:p w14:paraId="24A307E7" w14:textId="0B9EBCFA" w:rsidR="00065455" w:rsidRPr="00FC2C87" w:rsidRDefault="009F6631" w:rsidP="004D0393">
      <w:pPr>
        <w:jc w:val="center"/>
        <w:rPr>
          <w:rFonts w:ascii="Calibri Light" w:hAnsi="Calibri Light" w:cs="Calibri Light"/>
        </w:rPr>
      </w:pPr>
      <w:r w:rsidRPr="00FC2C87">
        <w:rPr>
          <w:rStyle w:val="Siln"/>
          <w:rFonts w:ascii="Tahoma" w:hAnsi="Tahoma" w:cs="Tahoma"/>
        </w:rPr>
        <w:t>Registrační číslo</w:t>
      </w:r>
      <w:r w:rsidR="00EB3EE8" w:rsidRPr="00FC2C87">
        <w:rPr>
          <w:rStyle w:val="Siln"/>
          <w:rFonts w:ascii="Tahoma" w:hAnsi="Tahoma" w:cs="Tahoma"/>
        </w:rPr>
        <w:t xml:space="preserve"> dotačního</w:t>
      </w:r>
      <w:r w:rsidRPr="00FC2C87">
        <w:rPr>
          <w:rStyle w:val="Siln"/>
          <w:rFonts w:ascii="Tahoma" w:hAnsi="Tahoma" w:cs="Tahoma"/>
        </w:rPr>
        <w:t xml:space="preserve"> projektu:  CZ.06.3.05/0.0/0.0/16_044/0005456</w:t>
      </w:r>
    </w:p>
    <w:p w14:paraId="1D72E730" w14:textId="1E0A1787" w:rsidR="00065455" w:rsidRDefault="00065455" w:rsidP="00E76AA6">
      <w:pPr>
        <w:jc w:val="center"/>
      </w:pPr>
      <w:r w:rsidRPr="00E76AA6">
        <w:t xml:space="preserve">Veřejná zakázka je zadávána </w:t>
      </w:r>
      <w:r w:rsidR="00BD51CA" w:rsidRPr="00E76AA6">
        <w:br/>
      </w:r>
      <w:r w:rsidR="00C732CB">
        <w:t>dle zákona č. 134</w:t>
      </w:r>
      <w:r w:rsidRPr="00E76AA6">
        <w:t>/20</w:t>
      </w:r>
      <w:r w:rsidR="00C732CB">
        <w:t>1</w:t>
      </w:r>
      <w:r w:rsidRPr="00E76AA6">
        <w:t xml:space="preserve">6 Sb., o </w:t>
      </w:r>
      <w:r w:rsidR="00C732CB">
        <w:t>zadávání veřejných zakázek</w:t>
      </w:r>
      <w:r w:rsidRPr="00E76AA6">
        <w:t xml:space="preserve"> v</w:t>
      </w:r>
      <w:r w:rsidR="004F2C9C" w:rsidRPr="00E76AA6">
        <w:t>e</w:t>
      </w:r>
      <w:r w:rsidRPr="00E76AA6">
        <w:t xml:space="preserve"> znění </w:t>
      </w:r>
      <w:r w:rsidR="004F2C9C" w:rsidRPr="00E76AA6">
        <w:t>pozdějších předpisů</w:t>
      </w:r>
      <w:r w:rsidR="00BD51CA" w:rsidRPr="00E76AA6">
        <w:br/>
      </w:r>
      <w:r w:rsidRPr="00E76AA6">
        <w:t>(dále jen „</w:t>
      </w:r>
      <w:r w:rsidR="00E76AA6">
        <w:t>Z</w:t>
      </w:r>
      <w:r w:rsidR="006D166C" w:rsidRPr="00E76AA6">
        <w:t>ZVZ</w:t>
      </w:r>
      <w:r w:rsidRPr="00E76AA6">
        <w:t>“)</w:t>
      </w:r>
    </w:p>
    <w:p w14:paraId="043547E0" w14:textId="77777777" w:rsidR="00150C43" w:rsidRPr="00E76AA6" w:rsidRDefault="00150C43" w:rsidP="00E76AA6">
      <w:pPr>
        <w:jc w:val="center"/>
      </w:pPr>
    </w:p>
    <w:p w14:paraId="5FB77A67" w14:textId="77777777" w:rsidR="009231A7" w:rsidRDefault="009231A7" w:rsidP="009231A7">
      <w:pPr>
        <w:pStyle w:val="Nadpis-titulnstrnka"/>
      </w:pPr>
      <w:r w:rsidRPr="005334D2">
        <w:t>ve zjednodušeném podlimitním řízení</w:t>
      </w:r>
    </w:p>
    <w:p w14:paraId="790468DE" w14:textId="77777777" w:rsidR="00150C43" w:rsidRPr="00564DE3" w:rsidRDefault="00150C43" w:rsidP="009231A7">
      <w:pPr>
        <w:rPr>
          <w:rFonts w:ascii="Calibri Light" w:hAnsi="Calibri Light" w:cs="Calibri Light"/>
        </w:rPr>
      </w:pPr>
    </w:p>
    <w:p w14:paraId="42CB9E40" w14:textId="1CDFBCAD" w:rsidR="00E655CC" w:rsidRDefault="00065455" w:rsidP="009231A7">
      <w:pPr>
        <w:jc w:val="center"/>
      </w:pPr>
      <w:r w:rsidRPr="00E76AA6">
        <w:t>zadavatelem</w:t>
      </w:r>
      <w:r w:rsidR="00BD51CA" w:rsidRPr="00E76AA6">
        <w:t>:</w:t>
      </w:r>
    </w:p>
    <w:p w14:paraId="6DD5E6C9" w14:textId="77777777" w:rsidR="00E655CC" w:rsidRPr="00E76AA6" w:rsidRDefault="00E655CC" w:rsidP="00E76AA6">
      <w:pPr>
        <w:jc w:val="center"/>
      </w:pPr>
    </w:p>
    <w:p w14:paraId="1741B45A" w14:textId="21766915" w:rsidR="00D33EE8" w:rsidRPr="00E76AA6" w:rsidRDefault="00DB2104" w:rsidP="00E76AA6">
      <w:pPr>
        <w:jc w:val="center"/>
      </w:pPr>
      <w:bookmarkStart w:id="1" w:name="zadavatel_jmeno"/>
      <w:r w:rsidRPr="00DB2104">
        <w:rPr>
          <w:b/>
        </w:rPr>
        <w:t>Město Mariánské Lázně</w:t>
      </w:r>
      <w:bookmarkEnd w:id="1"/>
      <w:r w:rsidR="00423CCE" w:rsidRPr="00E76AA6">
        <w:rPr>
          <w:b/>
        </w:rPr>
        <w:t xml:space="preserve"> </w:t>
      </w:r>
      <w:r w:rsidR="00065455" w:rsidRPr="00E76AA6">
        <w:rPr>
          <w:b/>
        </w:rPr>
        <w:br/>
      </w:r>
      <w:bookmarkStart w:id="2" w:name="zadavatel_ulice"/>
      <w:r w:rsidRPr="00DB2104">
        <w:t>Ruská 155/3</w:t>
      </w:r>
      <w:bookmarkEnd w:id="2"/>
      <w:r w:rsidR="00423CCE" w:rsidRPr="00E76AA6">
        <w:t xml:space="preserve">, </w:t>
      </w:r>
      <w:bookmarkStart w:id="3" w:name="zadavatel_mesto"/>
      <w:r w:rsidRPr="00DB2104">
        <w:t>353 01 Mariánské Lázně</w:t>
      </w:r>
      <w:bookmarkEnd w:id="3"/>
      <w:r w:rsidR="00423CCE" w:rsidRPr="00E76AA6">
        <w:t xml:space="preserve">, IČ </w:t>
      </w:r>
      <w:bookmarkStart w:id="4" w:name="zadavatel_ic"/>
      <w:r w:rsidRPr="00DB2104">
        <w:t>00254061</w:t>
      </w:r>
      <w:bookmarkEnd w:id="4"/>
    </w:p>
    <w:p w14:paraId="62E0AA79" w14:textId="1520FD72" w:rsidR="00423CCE" w:rsidRPr="00FC2C87" w:rsidRDefault="00423CCE" w:rsidP="00423CCE">
      <w:pPr>
        <w:jc w:val="center"/>
      </w:pPr>
      <w:r w:rsidRPr="00FC2C87">
        <w:t xml:space="preserve">Osobami oprávněnými jednat za zadavatele </w:t>
      </w:r>
      <w:r w:rsidR="00DB2104" w:rsidRPr="00FC2C87">
        <w:t xml:space="preserve">je Ing. </w:t>
      </w:r>
      <w:r w:rsidR="00CB0434" w:rsidRPr="00FC2C87">
        <w:t>Martin Kalina</w:t>
      </w:r>
      <w:r w:rsidR="00DB2104" w:rsidRPr="00FC2C87">
        <w:t>, starosta</w:t>
      </w:r>
      <w:r w:rsidRPr="00FC2C87">
        <w:t>.</w:t>
      </w:r>
    </w:p>
    <w:p w14:paraId="6B9ADAD4" w14:textId="77777777" w:rsidR="004A1034" w:rsidRPr="00564DE3" w:rsidRDefault="004A1034" w:rsidP="004D0393">
      <w:pPr>
        <w:jc w:val="center"/>
        <w:rPr>
          <w:rFonts w:ascii="Calibri Light" w:hAnsi="Calibri Light" w:cs="Calibri Light"/>
        </w:rPr>
      </w:pPr>
    </w:p>
    <w:p w14:paraId="2EC9EE74" w14:textId="77777777" w:rsidR="004A1034" w:rsidRPr="00564DE3" w:rsidRDefault="004A1034" w:rsidP="004A1034">
      <w:pPr>
        <w:pStyle w:val="Seznamsodrkami"/>
        <w:numPr>
          <w:ilvl w:val="0"/>
          <w:numId w:val="0"/>
        </w:numPr>
        <w:rPr>
          <w:rFonts w:ascii="Calibri Light" w:hAnsi="Calibri Light" w:cs="Calibri Light"/>
        </w:rPr>
      </w:pPr>
    </w:p>
    <w:p w14:paraId="13CDA04D" w14:textId="77777777" w:rsidR="00C15E29" w:rsidRPr="00B77987" w:rsidRDefault="004A1034">
      <w:pPr>
        <w:pStyle w:val="Obsah1"/>
        <w:rPr>
          <w:rFonts w:ascii="Calibri" w:hAnsi="Calibri"/>
          <w:noProof/>
          <w:szCs w:val="22"/>
          <w:lang w:eastAsia="cs-CZ"/>
        </w:rPr>
      </w:pPr>
      <w:r w:rsidRPr="00E76AA6">
        <w:fldChar w:fldCharType="begin"/>
      </w:r>
      <w:r w:rsidRPr="00E76AA6">
        <w:instrText xml:space="preserve"> TOC \o "1-1" \h \z \u </w:instrText>
      </w:r>
      <w:r w:rsidRPr="00E76AA6">
        <w:fldChar w:fldCharType="separate"/>
      </w:r>
      <w:hyperlink w:anchor="_Toc477447827" w:history="1">
        <w:r w:rsidR="00C15E29" w:rsidRPr="00A261DB">
          <w:rPr>
            <w:rStyle w:val="Hypertextovodkaz"/>
            <w:noProof/>
          </w:rPr>
          <w:t>1.</w:t>
        </w:r>
        <w:r w:rsidR="00C15E29" w:rsidRPr="00B77987">
          <w:rPr>
            <w:rFonts w:ascii="Calibri" w:hAnsi="Calibri"/>
            <w:noProof/>
            <w:szCs w:val="22"/>
            <w:lang w:eastAsia="cs-CZ"/>
          </w:rPr>
          <w:tab/>
        </w:r>
        <w:r w:rsidR="00C15E29" w:rsidRPr="00A261DB">
          <w:rPr>
            <w:rStyle w:val="Hypertextovodkaz"/>
            <w:noProof/>
          </w:rPr>
          <w:t>Kontaktní údaje, způsob komunikace</w:t>
        </w:r>
        <w:r w:rsidR="00C15E29">
          <w:rPr>
            <w:noProof/>
            <w:webHidden/>
          </w:rPr>
          <w:tab/>
        </w:r>
        <w:r w:rsidR="00C15E29">
          <w:rPr>
            <w:noProof/>
            <w:webHidden/>
          </w:rPr>
          <w:fldChar w:fldCharType="begin"/>
        </w:r>
        <w:r w:rsidR="00C15E29">
          <w:rPr>
            <w:noProof/>
            <w:webHidden/>
          </w:rPr>
          <w:instrText xml:space="preserve"> PAGEREF _Toc477447827 \h </w:instrText>
        </w:r>
        <w:r w:rsidR="00C15E29">
          <w:rPr>
            <w:noProof/>
            <w:webHidden/>
          </w:rPr>
        </w:r>
        <w:r w:rsidR="00C15E29">
          <w:rPr>
            <w:noProof/>
            <w:webHidden/>
          </w:rPr>
          <w:fldChar w:fldCharType="separate"/>
        </w:r>
        <w:r w:rsidR="00A96952">
          <w:rPr>
            <w:noProof/>
            <w:webHidden/>
          </w:rPr>
          <w:t>2</w:t>
        </w:r>
        <w:r w:rsidR="00C15E29">
          <w:rPr>
            <w:noProof/>
            <w:webHidden/>
          </w:rPr>
          <w:fldChar w:fldCharType="end"/>
        </w:r>
      </w:hyperlink>
    </w:p>
    <w:p w14:paraId="528B5A60" w14:textId="77777777" w:rsidR="00C15E29" w:rsidRPr="00B77987" w:rsidRDefault="00CD2E7F">
      <w:pPr>
        <w:pStyle w:val="Obsah1"/>
        <w:rPr>
          <w:rFonts w:ascii="Calibri" w:hAnsi="Calibri"/>
          <w:noProof/>
          <w:szCs w:val="22"/>
          <w:lang w:eastAsia="cs-CZ"/>
        </w:rPr>
      </w:pPr>
      <w:hyperlink w:anchor="_Toc477447828" w:history="1">
        <w:r w:rsidR="00C15E29" w:rsidRPr="00A261DB">
          <w:rPr>
            <w:rStyle w:val="Hypertextovodkaz"/>
            <w:noProof/>
          </w:rPr>
          <w:t>2.</w:t>
        </w:r>
        <w:r w:rsidR="00C15E29" w:rsidRPr="00B77987">
          <w:rPr>
            <w:rFonts w:ascii="Calibri" w:hAnsi="Calibri"/>
            <w:noProof/>
            <w:szCs w:val="22"/>
            <w:lang w:eastAsia="cs-CZ"/>
          </w:rPr>
          <w:tab/>
        </w:r>
        <w:r w:rsidR="00C15E29" w:rsidRPr="00A261DB">
          <w:rPr>
            <w:rStyle w:val="Hypertextovodkaz"/>
            <w:noProof/>
          </w:rPr>
          <w:t>Vymezení veřejné zakázky</w:t>
        </w:r>
        <w:r w:rsidR="00C15E29">
          <w:rPr>
            <w:noProof/>
            <w:webHidden/>
          </w:rPr>
          <w:tab/>
        </w:r>
        <w:r w:rsidR="00C15E29">
          <w:rPr>
            <w:noProof/>
            <w:webHidden/>
          </w:rPr>
          <w:fldChar w:fldCharType="begin"/>
        </w:r>
        <w:r w:rsidR="00C15E29">
          <w:rPr>
            <w:noProof/>
            <w:webHidden/>
          </w:rPr>
          <w:instrText xml:space="preserve"> PAGEREF _Toc477447828 \h </w:instrText>
        </w:r>
        <w:r w:rsidR="00C15E29">
          <w:rPr>
            <w:noProof/>
            <w:webHidden/>
          </w:rPr>
        </w:r>
        <w:r w:rsidR="00C15E29">
          <w:rPr>
            <w:noProof/>
            <w:webHidden/>
          </w:rPr>
          <w:fldChar w:fldCharType="separate"/>
        </w:r>
        <w:r w:rsidR="00A96952">
          <w:rPr>
            <w:noProof/>
            <w:webHidden/>
          </w:rPr>
          <w:t>3</w:t>
        </w:r>
        <w:r w:rsidR="00C15E29">
          <w:rPr>
            <w:noProof/>
            <w:webHidden/>
          </w:rPr>
          <w:fldChar w:fldCharType="end"/>
        </w:r>
      </w:hyperlink>
    </w:p>
    <w:p w14:paraId="4716FBC0" w14:textId="77777777" w:rsidR="00C15E29" w:rsidRPr="00B77987" w:rsidRDefault="00CD2E7F">
      <w:pPr>
        <w:pStyle w:val="Obsah1"/>
        <w:rPr>
          <w:rFonts w:ascii="Calibri" w:hAnsi="Calibri"/>
          <w:noProof/>
          <w:szCs w:val="22"/>
          <w:lang w:eastAsia="cs-CZ"/>
        </w:rPr>
      </w:pPr>
      <w:hyperlink w:anchor="_Toc477447829" w:history="1">
        <w:r w:rsidR="00C15E29" w:rsidRPr="00A261DB">
          <w:rPr>
            <w:rStyle w:val="Hypertextovodkaz"/>
            <w:noProof/>
          </w:rPr>
          <w:t>3.</w:t>
        </w:r>
        <w:r w:rsidR="00C15E29" w:rsidRPr="00B77987">
          <w:rPr>
            <w:rFonts w:ascii="Calibri" w:hAnsi="Calibri"/>
            <w:noProof/>
            <w:szCs w:val="22"/>
            <w:lang w:eastAsia="cs-CZ"/>
          </w:rPr>
          <w:tab/>
        </w:r>
        <w:r w:rsidR="00C15E29" w:rsidRPr="00A261DB">
          <w:rPr>
            <w:rStyle w:val="Hypertextovodkaz"/>
            <w:noProof/>
          </w:rPr>
          <w:t>Způsob zpracování nabídkové ceny</w:t>
        </w:r>
        <w:r w:rsidR="00C15E29">
          <w:rPr>
            <w:noProof/>
            <w:webHidden/>
          </w:rPr>
          <w:tab/>
        </w:r>
        <w:r w:rsidR="00C15E29">
          <w:rPr>
            <w:noProof/>
            <w:webHidden/>
          </w:rPr>
          <w:fldChar w:fldCharType="begin"/>
        </w:r>
        <w:r w:rsidR="00C15E29">
          <w:rPr>
            <w:noProof/>
            <w:webHidden/>
          </w:rPr>
          <w:instrText xml:space="preserve"> PAGEREF _Toc477447829 \h </w:instrText>
        </w:r>
        <w:r w:rsidR="00C15E29">
          <w:rPr>
            <w:noProof/>
            <w:webHidden/>
          </w:rPr>
        </w:r>
        <w:r w:rsidR="00C15E29">
          <w:rPr>
            <w:noProof/>
            <w:webHidden/>
          </w:rPr>
          <w:fldChar w:fldCharType="separate"/>
        </w:r>
        <w:r w:rsidR="00A96952">
          <w:rPr>
            <w:noProof/>
            <w:webHidden/>
          </w:rPr>
          <w:t>6</w:t>
        </w:r>
        <w:r w:rsidR="00C15E29">
          <w:rPr>
            <w:noProof/>
            <w:webHidden/>
          </w:rPr>
          <w:fldChar w:fldCharType="end"/>
        </w:r>
      </w:hyperlink>
    </w:p>
    <w:p w14:paraId="57C4DDA6" w14:textId="77777777" w:rsidR="00C15E29" w:rsidRPr="00B77987" w:rsidRDefault="00CD2E7F">
      <w:pPr>
        <w:pStyle w:val="Obsah1"/>
        <w:rPr>
          <w:rFonts w:ascii="Calibri" w:hAnsi="Calibri"/>
          <w:noProof/>
          <w:szCs w:val="22"/>
          <w:lang w:eastAsia="cs-CZ"/>
        </w:rPr>
      </w:pPr>
      <w:hyperlink w:anchor="_Toc477447830" w:history="1">
        <w:r w:rsidR="00C15E29" w:rsidRPr="00A261DB">
          <w:rPr>
            <w:rStyle w:val="Hypertextovodkaz"/>
            <w:noProof/>
          </w:rPr>
          <w:t>4.</w:t>
        </w:r>
        <w:r w:rsidR="00C15E29" w:rsidRPr="00B77987">
          <w:rPr>
            <w:rFonts w:ascii="Calibri" w:hAnsi="Calibri"/>
            <w:noProof/>
            <w:szCs w:val="22"/>
            <w:lang w:eastAsia="cs-CZ"/>
          </w:rPr>
          <w:tab/>
        </w:r>
        <w:r w:rsidR="00C15E29" w:rsidRPr="00A261DB">
          <w:rPr>
            <w:rStyle w:val="Hypertextovodkaz"/>
            <w:noProof/>
          </w:rPr>
          <w:t>Požadavky na sestavení nabídky</w:t>
        </w:r>
        <w:r w:rsidR="00C15E29">
          <w:rPr>
            <w:noProof/>
            <w:webHidden/>
          </w:rPr>
          <w:tab/>
        </w:r>
        <w:r w:rsidR="00C15E29">
          <w:rPr>
            <w:noProof/>
            <w:webHidden/>
          </w:rPr>
          <w:fldChar w:fldCharType="begin"/>
        </w:r>
        <w:r w:rsidR="00C15E29">
          <w:rPr>
            <w:noProof/>
            <w:webHidden/>
          </w:rPr>
          <w:instrText xml:space="preserve"> PAGEREF _Toc477447830 \h </w:instrText>
        </w:r>
        <w:r w:rsidR="00C15E29">
          <w:rPr>
            <w:noProof/>
            <w:webHidden/>
          </w:rPr>
        </w:r>
        <w:r w:rsidR="00C15E29">
          <w:rPr>
            <w:noProof/>
            <w:webHidden/>
          </w:rPr>
          <w:fldChar w:fldCharType="separate"/>
        </w:r>
        <w:r w:rsidR="00A96952">
          <w:rPr>
            <w:noProof/>
            <w:webHidden/>
          </w:rPr>
          <w:t>6</w:t>
        </w:r>
        <w:r w:rsidR="00C15E29">
          <w:rPr>
            <w:noProof/>
            <w:webHidden/>
          </w:rPr>
          <w:fldChar w:fldCharType="end"/>
        </w:r>
      </w:hyperlink>
    </w:p>
    <w:p w14:paraId="36780E89" w14:textId="77777777" w:rsidR="00C15E29" w:rsidRPr="00B77987" w:rsidRDefault="00CD2E7F">
      <w:pPr>
        <w:pStyle w:val="Obsah1"/>
        <w:rPr>
          <w:rFonts w:ascii="Calibri" w:hAnsi="Calibri"/>
          <w:noProof/>
          <w:szCs w:val="22"/>
          <w:lang w:eastAsia="cs-CZ"/>
        </w:rPr>
      </w:pPr>
      <w:hyperlink w:anchor="_Toc477447831" w:history="1">
        <w:r w:rsidR="00C15E29" w:rsidRPr="00A261DB">
          <w:rPr>
            <w:rStyle w:val="Hypertextovodkaz"/>
            <w:noProof/>
          </w:rPr>
          <w:t>5.</w:t>
        </w:r>
        <w:r w:rsidR="00C15E29" w:rsidRPr="00B77987">
          <w:rPr>
            <w:rFonts w:ascii="Calibri" w:hAnsi="Calibri"/>
            <w:noProof/>
            <w:szCs w:val="22"/>
            <w:lang w:eastAsia="cs-CZ"/>
          </w:rPr>
          <w:tab/>
        </w:r>
        <w:r w:rsidR="00C15E29" w:rsidRPr="00A261DB">
          <w:rPr>
            <w:rStyle w:val="Hypertextovodkaz"/>
            <w:noProof/>
          </w:rPr>
          <w:t>Kvalifikace</w:t>
        </w:r>
        <w:r w:rsidR="00C15E29">
          <w:rPr>
            <w:noProof/>
            <w:webHidden/>
          </w:rPr>
          <w:tab/>
        </w:r>
        <w:r w:rsidR="00C15E29">
          <w:rPr>
            <w:noProof/>
            <w:webHidden/>
          </w:rPr>
          <w:fldChar w:fldCharType="begin"/>
        </w:r>
        <w:r w:rsidR="00C15E29">
          <w:rPr>
            <w:noProof/>
            <w:webHidden/>
          </w:rPr>
          <w:instrText xml:space="preserve"> PAGEREF _Toc477447831 \h </w:instrText>
        </w:r>
        <w:r w:rsidR="00C15E29">
          <w:rPr>
            <w:noProof/>
            <w:webHidden/>
          </w:rPr>
        </w:r>
        <w:r w:rsidR="00C15E29">
          <w:rPr>
            <w:noProof/>
            <w:webHidden/>
          </w:rPr>
          <w:fldChar w:fldCharType="separate"/>
        </w:r>
        <w:r w:rsidR="00A96952">
          <w:rPr>
            <w:noProof/>
            <w:webHidden/>
          </w:rPr>
          <w:t>8</w:t>
        </w:r>
        <w:r w:rsidR="00C15E29">
          <w:rPr>
            <w:noProof/>
            <w:webHidden/>
          </w:rPr>
          <w:fldChar w:fldCharType="end"/>
        </w:r>
      </w:hyperlink>
    </w:p>
    <w:p w14:paraId="36D26075" w14:textId="77777777" w:rsidR="00C15E29" w:rsidRPr="00B77987" w:rsidRDefault="00CD2E7F">
      <w:pPr>
        <w:pStyle w:val="Obsah1"/>
        <w:rPr>
          <w:rFonts w:ascii="Calibri" w:hAnsi="Calibri"/>
          <w:noProof/>
          <w:szCs w:val="22"/>
          <w:lang w:eastAsia="cs-CZ"/>
        </w:rPr>
      </w:pPr>
      <w:hyperlink w:anchor="_Toc477447832" w:history="1">
        <w:r w:rsidR="00C15E29" w:rsidRPr="00A261DB">
          <w:rPr>
            <w:rStyle w:val="Hypertextovodkaz"/>
            <w:noProof/>
          </w:rPr>
          <w:t>6.</w:t>
        </w:r>
        <w:r w:rsidR="00C15E29" w:rsidRPr="00B77987">
          <w:rPr>
            <w:rFonts w:ascii="Calibri" w:hAnsi="Calibri"/>
            <w:noProof/>
            <w:szCs w:val="22"/>
            <w:lang w:eastAsia="cs-CZ"/>
          </w:rPr>
          <w:tab/>
        </w:r>
        <w:r w:rsidR="00C15E29" w:rsidRPr="00A261DB">
          <w:rPr>
            <w:rStyle w:val="Hypertextovodkaz"/>
            <w:noProof/>
          </w:rPr>
          <w:t>Další podmínky zadávacího řízení</w:t>
        </w:r>
        <w:r w:rsidR="00C15E29">
          <w:rPr>
            <w:noProof/>
            <w:webHidden/>
          </w:rPr>
          <w:tab/>
        </w:r>
        <w:r w:rsidR="00C15E29">
          <w:rPr>
            <w:noProof/>
            <w:webHidden/>
          </w:rPr>
          <w:fldChar w:fldCharType="begin"/>
        </w:r>
        <w:r w:rsidR="00C15E29">
          <w:rPr>
            <w:noProof/>
            <w:webHidden/>
          </w:rPr>
          <w:instrText xml:space="preserve"> PAGEREF _Toc477447832 \h </w:instrText>
        </w:r>
        <w:r w:rsidR="00C15E29">
          <w:rPr>
            <w:noProof/>
            <w:webHidden/>
          </w:rPr>
        </w:r>
        <w:r w:rsidR="00C15E29">
          <w:rPr>
            <w:noProof/>
            <w:webHidden/>
          </w:rPr>
          <w:fldChar w:fldCharType="separate"/>
        </w:r>
        <w:r w:rsidR="00A96952">
          <w:rPr>
            <w:noProof/>
            <w:webHidden/>
          </w:rPr>
          <w:t>16</w:t>
        </w:r>
        <w:r w:rsidR="00C15E29">
          <w:rPr>
            <w:noProof/>
            <w:webHidden/>
          </w:rPr>
          <w:fldChar w:fldCharType="end"/>
        </w:r>
      </w:hyperlink>
    </w:p>
    <w:p w14:paraId="3FCB354E" w14:textId="77777777" w:rsidR="00C15E29" w:rsidRPr="00B77987" w:rsidRDefault="00CD2E7F">
      <w:pPr>
        <w:pStyle w:val="Obsah1"/>
        <w:rPr>
          <w:rFonts w:ascii="Calibri" w:hAnsi="Calibri"/>
          <w:noProof/>
          <w:szCs w:val="22"/>
          <w:lang w:eastAsia="cs-CZ"/>
        </w:rPr>
      </w:pPr>
      <w:hyperlink w:anchor="_Toc477447833" w:history="1">
        <w:r w:rsidR="00C15E29" w:rsidRPr="00A261DB">
          <w:rPr>
            <w:rStyle w:val="Hypertextovodkaz"/>
            <w:noProof/>
          </w:rPr>
          <w:t>7.</w:t>
        </w:r>
        <w:r w:rsidR="00C15E29" w:rsidRPr="00B77987">
          <w:rPr>
            <w:rFonts w:ascii="Calibri" w:hAnsi="Calibri"/>
            <w:noProof/>
            <w:szCs w:val="22"/>
            <w:lang w:eastAsia="cs-CZ"/>
          </w:rPr>
          <w:tab/>
        </w:r>
        <w:r w:rsidR="00C15E29" w:rsidRPr="00A261DB">
          <w:rPr>
            <w:rStyle w:val="Hypertextovodkaz"/>
            <w:noProof/>
          </w:rPr>
          <w:t>Příprava a podání nabídek</w:t>
        </w:r>
        <w:r w:rsidR="00C15E29">
          <w:rPr>
            <w:noProof/>
            <w:webHidden/>
          </w:rPr>
          <w:tab/>
        </w:r>
        <w:r w:rsidR="00C15E29">
          <w:rPr>
            <w:noProof/>
            <w:webHidden/>
          </w:rPr>
          <w:fldChar w:fldCharType="begin"/>
        </w:r>
        <w:r w:rsidR="00C15E29">
          <w:rPr>
            <w:noProof/>
            <w:webHidden/>
          </w:rPr>
          <w:instrText xml:space="preserve"> PAGEREF _Toc477447833 \h </w:instrText>
        </w:r>
        <w:r w:rsidR="00C15E29">
          <w:rPr>
            <w:noProof/>
            <w:webHidden/>
          </w:rPr>
        </w:r>
        <w:r w:rsidR="00C15E29">
          <w:rPr>
            <w:noProof/>
            <w:webHidden/>
          </w:rPr>
          <w:fldChar w:fldCharType="separate"/>
        </w:r>
        <w:r w:rsidR="00A96952">
          <w:rPr>
            <w:noProof/>
            <w:webHidden/>
          </w:rPr>
          <w:t>16</w:t>
        </w:r>
        <w:r w:rsidR="00C15E29">
          <w:rPr>
            <w:noProof/>
            <w:webHidden/>
          </w:rPr>
          <w:fldChar w:fldCharType="end"/>
        </w:r>
      </w:hyperlink>
    </w:p>
    <w:p w14:paraId="71C8D224" w14:textId="77777777" w:rsidR="00C15E29" w:rsidRPr="00B77987" w:rsidRDefault="00CD2E7F">
      <w:pPr>
        <w:pStyle w:val="Obsah1"/>
        <w:rPr>
          <w:rFonts w:ascii="Calibri" w:hAnsi="Calibri"/>
          <w:noProof/>
          <w:szCs w:val="22"/>
          <w:lang w:eastAsia="cs-CZ"/>
        </w:rPr>
      </w:pPr>
      <w:hyperlink w:anchor="_Toc477447834" w:history="1">
        <w:r w:rsidR="00C15E29" w:rsidRPr="00A261DB">
          <w:rPr>
            <w:rStyle w:val="Hypertextovodkaz"/>
            <w:noProof/>
          </w:rPr>
          <w:t>8.</w:t>
        </w:r>
        <w:r w:rsidR="00C15E29" w:rsidRPr="00B77987">
          <w:rPr>
            <w:rFonts w:ascii="Calibri" w:hAnsi="Calibri"/>
            <w:noProof/>
            <w:szCs w:val="22"/>
            <w:lang w:eastAsia="cs-CZ"/>
          </w:rPr>
          <w:tab/>
        </w:r>
        <w:r w:rsidR="00C15E29" w:rsidRPr="00A261DB">
          <w:rPr>
            <w:rStyle w:val="Hypertextovodkaz"/>
            <w:noProof/>
          </w:rPr>
          <w:t>Otevírání obálek</w:t>
        </w:r>
        <w:r w:rsidR="00C15E29">
          <w:rPr>
            <w:noProof/>
            <w:webHidden/>
          </w:rPr>
          <w:tab/>
        </w:r>
        <w:r w:rsidR="00C15E29">
          <w:rPr>
            <w:noProof/>
            <w:webHidden/>
          </w:rPr>
          <w:fldChar w:fldCharType="begin"/>
        </w:r>
        <w:r w:rsidR="00C15E29">
          <w:rPr>
            <w:noProof/>
            <w:webHidden/>
          </w:rPr>
          <w:instrText xml:space="preserve"> PAGEREF _Toc477447834 \h </w:instrText>
        </w:r>
        <w:r w:rsidR="00C15E29">
          <w:rPr>
            <w:noProof/>
            <w:webHidden/>
          </w:rPr>
        </w:r>
        <w:r w:rsidR="00C15E29">
          <w:rPr>
            <w:noProof/>
            <w:webHidden/>
          </w:rPr>
          <w:fldChar w:fldCharType="separate"/>
        </w:r>
        <w:r w:rsidR="00A96952">
          <w:rPr>
            <w:noProof/>
            <w:webHidden/>
          </w:rPr>
          <w:t>17</w:t>
        </w:r>
        <w:r w:rsidR="00C15E29">
          <w:rPr>
            <w:noProof/>
            <w:webHidden/>
          </w:rPr>
          <w:fldChar w:fldCharType="end"/>
        </w:r>
      </w:hyperlink>
    </w:p>
    <w:p w14:paraId="4032A2FE" w14:textId="77777777" w:rsidR="00C15E29" w:rsidRPr="00B77987" w:rsidRDefault="00CD2E7F">
      <w:pPr>
        <w:pStyle w:val="Obsah1"/>
        <w:rPr>
          <w:rFonts w:ascii="Calibri" w:hAnsi="Calibri"/>
          <w:noProof/>
          <w:szCs w:val="22"/>
          <w:lang w:eastAsia="cs-CZ"/>
        </w:rPr>
      </w:pPr>
      <w:hyperlink w:anchor="_Toc477447835" w:history="1">
        <w:r w:rsidR="00C15E29" w:rsidRPr="00A261DB">
          <w:rPr>
            <w:rStyle w:val="Hypertextovodkaz"/>
            <w:noProof/>
          </w:rPr>
          <w:t>9.</w:t>
        </w:r>
        <w:r w:rsidR="00C15E29" w:rsidRPr="00B77987">
          <w:rPr>
            <w:rFonts w:ascii="Calibri" w:hAnsi="Calibri"/>
            <w:noProof/>
            <w:szCs w:val="22"/>
            <w:lang w:eastAsia="cs-CZ"/>
          </w:rPr>
          <w:tab/>
        </w:r>
        <w:r w:rsidR="00C15E29" w:rsidRPr="00A261DB">
          <w:rPr>
            <w:rStyle w:val="Hypertextovodkaz"/>
            <w:noProof/>
          </w:rPr>
          <w:t>Posouzení a hodnocení nabídek</w:t>
        </w:r>
        <w:r w:rsidR="00C15E29">
          <w:rPr>
            <w:noProof/>
            <w:webHidden/>
          </w:rPr>
          <w:tab/>
        </w:r>
        <w:r w:rsidR="00C15E29">
          <w:rPr>
            <w:noProof/>
            <w:webHidden/>
          </w:rPr>
          <w:fldChar w:fldCharType="begin"/>
        </w:r>
        <w:r w:rsidR="00C15E29">
          <w:rPr>
            <w:noProof/>
            <w:webHidden/>
          </w:rPr>
          <w:instrText xml:space="preserve"> PAGEREF _Toc477447835 \h </w:instrText>
        </w:r>
        <w:r w:rsidR="00C15E29">
          <w:rPr>
            <w:noProof/>
            <w:webHidden/>
          </w:rPr>
        </w:r>
        <w:r w:rsidR="00C15E29">
          <w:rPr>
            <w:noProof/>
            <w:webHidden/>
          </w:rPr>
          <w:fldChar w:fldCharType="separate"/>
        </w:r>
        <w:r w:rsidR="00A96952">
          <w:rPr>
            <w:noProof/>
            <w:webHidden/>
          </w:rPr>
          <w:t>17</w:t>
        </w:r>
        <w:r w:rsidR="00C15E29">
          <w:rPr>
            <w:noProof/>
            <w:webHidden/>
          </w:rPr>
          <w:fldChar w:fldCharType="end"/>
        </w:r>
      </w:hyperlink>
    </w:p>
    <w:p w14:paraId="71A3C41C" w14:textId="77777777" w:rsidR="00C15E29" w:rsidRPr="00B77987" w:rsidRDefault="00CD2E7F">
      <w:pPr>
        <w:pStyle w:val="Obsah1"/>
        <w:rPr>
          <w:rFonts w:ascii="Calibri" w:hAnsi="Calibri"/>
          <w:noProof/>
          <w:szCs w:val="22"/>
          <w:lang w:eastAsia="cs-CZ"/>
        </w:rPr>
      </w:pPr>
      <w:hyperlink w:anchor="_Toc477447836" w:history="1">
        <w:r w:rsidR="00C15E29" w:rsidRPr="00A261DB">
          <w:rPr>
            <w:rStyle w:val="Hypertextovodkaz"/>
            <w:noProof/>
          </w:rPr>
          <w:t>10.</w:t>
        </w:r>
        <w:r w:rsidR="00C15E29" w:rsidRPr="00B77987">
          <w:rPr>
            <w:rFonts w:ascii="Calibri" w:hAnsi="Calibri"/>
            <w:noProof/>
            <w:szCs w:val="22"/>
            <w:lang w:eastAsia="cs-CZ"/>
          </w:rPr>
          <w:tab/>
        </w:r>
        <w:r w:rsidR="00C15E29" w:rsidRPr="00A261DB">
          <w:rPr>
            <w:rStyle w:val="Hypertextovodkaz"/>
            <w:noProof/>
          </w:rPr>
          <w:t>Postup před uzavřením smlouvy</w:t>
        </w:r>
        <w:r w:rsidR="00C15E29">
          <w:rPr>
            <w:noProof/>
            <w:webHidden/>
          </w:rPr>
          <w:tab/>
        </w:r>
        <w:r w:rsidR="00C15E29">
          <w:rPr>
            <w:noProof/>
            <w:webHidden/>
          </w:rPr>
          <w:fldChar w:fldCharType="begin"/>
        </w:r>
        <w:r w:rsidR="00C15E29">
          <w:rPr>
            <w:noProof/>
            <w:webHidden/>
          </w:rPr>
          <w:instrText xml:space="preserve"> PAGEREF _Toc477447836 \h </w:instrText>
        </w:r>
        <w:r w:rsidR="00C15E29">
          <w:rPr>
            <w:noProof/>
            <w:webHidden/>
          </w:rPr>
        </w:r>
        <w:r w:rsidR="00C15E29">
          <w:rPr>
            <w:noProof/>
            <w:webHidden/>
          </w:rPr>
          <w:fldChar w:fldCharType="separate"/>
        </w:r>
        <w:r w:rsidR="00A96952">
          <w:rPr>
            <w:noProof/>
            <w:webHidden/>
          </w:rPr>
          <w:t>22</w:t>
        </w:r>
        <w:r w:rsidR="00C15E29">
          <w:rPr>
            <w:noProof/>
            <w:webHidden/>
          </w:rPr>
          <w:fldChar w:fldCharType="end"/>
        </w:r>
      </w:hyperlink>
    </w:p>
    <w:p w14:paraId="32A75E35" w14:textId="77777777" w:rsidR="00C15E29" w:rsidRPr="00B77987" w:rsidRDefault="00CD2E7F">
      <w:pPr>
        <w:pStyle w:val="Obsah1"/>
        <w:rPr>
          <w:rFonts w:ascii="Calibri" w:hAnsi="Calibri"/>
          <w:noProof/>
          <w:szCs w:val="22"/>
          <w:lang w:eastAsia="cs-CZ"/>
        </w:rPr>
      </w:pPr>
      <w:hyperlink w:anchor="_Toc477447837" w:history="1">
        <w:r w:rsidR="00C15E29" w:rsidRPr="00A261DB">
          <w:rPr>
            <w:rStyle w:val="Hypertextovodkaz"/>
            <w:noProof/>
          </w:rPr>
          <w:t>11.</w:t>
        </w:r>
        <w:r w:rsidR="00C15E29" w:rsidRPr="00B77987">
          <w:rPr>
            <w:rFonts w:ascii="Calibri" w:hAnsi="Calibri"/>
            <w:noProof/>
            <w:szCs w:val="22"/>
            <w:lang w:eastAsia="cs-CZ"/>
          </w:rPr>
          <w:tab/>
        </w:r>
        <w:r w:rsidR="00C15E29" w:rsidRPr="00A261DB">
          <w:rPr>
            <w:rStyle w:val="Hypertextovodkaz"/>
            <w:noProof/>
          </w:rPr>
          <w:t>Přílohy – nedílná součást zadávací dokumentace:</w:t>
        </w:r>
        <w:r w:rsidR="00C15E29">
          <w:rPr>
            <w:noProof/>
            <w:webHidden/>
          </w:rPr>
          <w:tab/>
        </w:r>
        <w:r w:rsidR="00C15E29">
          <w:rPr>
            <w:noProof/>
            <w:webHidden/>
          </w:rPr>
          <w:fldChar w:fldCharType="begin"/>
        </w:r>
        <w:r w:rsidR="00C15E29">
          <w:rPr>
            <w:noProof/>
            <w:webHidden/>
          </w:rPr>
          <w:instrText xml:space="preserve"> PAGEREF _Toc477447837 \h </w:instrText>
        </w:r>
        <w:r w:rsidR="00C15E29">
          <w:rPr>
            <w:noProof/>
            <w:webHidden/>
          </w:rPr>
        </w:r>
        <w:r w:rsidR="00C15E29">
          <w:rPr>
            <w:noProof/>
            <w:webHidden/>
          </w:rPr>
          <w:fldChar w:fldCharType="separate"/>
        </w:r>
        <w:r w:rsidR="00A96952">
          <w:rPr>
            <w:noProof/>
            <w:webHidden/>
          </w:rPr>
          <w:t>23</w:t>
        </w:r>
        <w:r w:rsidR="00C15E29">
          <w:rPr>
            <w:noProof/>
            <w:webHidden/>
          </w:rPr>
          <w:fldChar w:fldCharType="end"/>
        </w:r>
      </w:hyperlink>
    </w:p>
    <w:p w14:paraId="59D5F0CB" w14:textId="77777777" w:rsidR="00212FFE" w:rsidRPr="00E76AA6" w:rsidRDefault="004A1034" w:rsidP="00E76AA6">
      <w:pPr>
        <w:pStyle w:val="Obsah1"/>
      </w:pPr>
      <w:r w:rsidRPr="00E76AA6">
        <w:fldChar w:fldCharType="end"/>
      </w:r>
    </w:p>
    <w:p w14:paraId="7F8377E8" w14:textId="77777777" w:rsidR="00630867" w:rsidRPr="00564DE3" w:rsidRDefault="00630867" w:rsidP="004D0393">
      <w:pPr>
        <w:rPr>
          <w:rFonts w:ascii="Calibri Light" w:hAnsi="Calibri Light" w:cs="Calibri Light"/>
        </w:rPr>
        <w:sectPr w:rsidR="00630867" w:rsidRPr="00564DE3" w:rsidSect="00584D96">
          <w:footerReference w:type="default" r:id="rId9"/>
          <w:headerReference w:type="first" r:id="rId10"/>
          <w:footnotePr>
            <w:pos w:val="beneathText"/>
          </w:footnotePr>
          <w:pgSz w:w="11905" w:h="16837" w:code="9"/>
          <w:pgMar w:top="1418" w:right="1134" w:bottom="1418" w:left="1134" w:header="709" w:footer="709" w:gutter="0"/>
          <w:cols w:space="708"/>
          <w:titlePg/>
          <w:docGrid w:linePitch="360"/>
        </w:sectPr>
      </w:pPr>
    </w:p>
    <w:p w14:paraId="719BE927" w14:textId="06904AE9" w:rsidR="008B3DF7" w:rsidRDefault="00E76AA6" w:rsidP="00E76AA6">
      <w:bookmarkStart w:id="5" w:name="_Toc159843934"/>
      <w:bookmarkStart w:id="6" w:name="_Ref386543894"/>
      <w:r w:rsidRPr="00B753EA">
        <w:lastRenderedPageBreak/>
        <w:t xml:space="preserve">Tato </w:t>
      </w:r>
      <w:r w:rsidR="002563EC">
        <w:t>Z</w:t>
      </w:r>
      <w:r w:rsidRPr="00B753EA">
        <w:t xml:space="preserve">adávací dokumentace slouží jako podklad pro vypracování nabídek </w:t>
      </w:r>
      <w:r>
        <w:t>dodavatel</w:t>
      </w:r>
      <w:r w:rsidRPr="00B753EA">
        <w:t xml:space="preserve">ů. </w:t>
      </w:r>
      <w:r w:rsidR="002563EC">
        <w:t xml:space="preserve">Součástí Zadávací dokumentace jsou též další dokumenty obsahující zadávací podmínky, např. </w:t>
      </w:r>
      <w:r w:rsidR="004672EC">
        <w:t xml:space="preserve">vysvětlení, </w:t>
      </w:r>
      <w:r w:rsidR="002563EC">
        <w:t xml:space="preserve">změny a doplnění </w:t>
      </w:r>
      <w:r w:rsidR="008B3DF7">
        <w:t>zadávacích podmínek.</w:t>
      </w:r>
    </w:p>
    <w:p w14:paraId="054C7056" w14:textId="77777777" w:rsidR="00914D27" w:rsidRDefault="00E76AA6" w:rsidP="00E76AA6">
      <w:r w:rsidRPr="00B753EA">
        <w:t xml:space="preserve">Práva a povinnosti zadavatele i dodavatelů se řídí </w:t>
      </w:r>
      <w:r>
        <w:t>ZZVZ</w:t>
      </w:r>
      <w:r w:rsidRPr="00B753EA">
        <w:t xml:space="preserve">, který </w:t>
      </w:r>
      <w:r>
        <w:t xml:space="preserve">řeší práva a povinnosti </w:t>
      </w:r>
      <w:r w:rsidRPr="00B753EA">
        <w:t>v</w:t>
      </w:r>
      <w:r>
        <w:t> zadávacích podmínkách neuvedené a v případě konfliktu má přednost</w:t>
      </w:r>
      <w:r w:rsidRPr="00B753EA">
        <w:t xml:space="preserve"> i před ustanoveními</w:t>
      </w:r>
      <w:r>
        <w:t xml:space="preserve"> v zadávacích podmínkách uvedenými</w:t>
      </w:r>
      <w:r w:rsidR="00914D27">
        <w:t>.</w:t>
      </w:r>
    </w:p>
    <w:p w14:paraId="607E4DC2" w14:textId="7E9B209B" w:rsidR="002819B2" w:rsidRDefault="00914D27" w:rsidP="00E76AA6">
      <w:r>
        <w:t xml:space="preserve">Zadávací dokumentaci zpracoval zadavatel </w:t>
      </w:r>
      <w:r w:rsidR="002819B2">
        <w:t xml:space="preserve">s konzultacemi ze strany administrátora (osoba pověřená výkonem činností zadavatele, viz též bod </w:t>
      </w:r>
      <w:r w:rsidR="002819B2">
        <w:fldChar w:fldCharType="begin"/>
      </w:r>
      <w:r w:rsidR="002819B2">
        <w:instrText xml:space="preserve"> REF _Ref162670807 \n \h </w:instrText>
      </w:r>
      <w:r w:rsidR="002819B2">
        <w:fldChar w:fldCharType="separate"/>
      </w:r>
      <w:r w:rsidR="00A96952">
        <w:t>1.1</w:t>
      </w:r>
      <w:r w:rsidR="002819B2">
        <w:fldChar w:fldCharType="end"/>
      </w:r>
      <w:r w:rsidR="002819B2">
        <w:t xml:space="preserve"> Zadávací dokumentace). </w:t>
      </w:r>
      <w:r w:rsidR="00767B27">
        <w:t xml:space="preserve">Technická specifikace byla zpracována v souladu se studií proveditelnosti, zpracovatel </w:t>
      </w:r>
      <w:r w:rsidR="00B72E65" w:rsidRPr="00B72E65">
        <w:t>GROUWE, s.r.o.</w:t>
      </w:r>
    </w:p>
    <w:p w14:paraId="2C52CD11" w14:textId="77777777" w:rsidR="00D33EE8" w:rsidRPr="00E76AA6" w:rsidRDefault="004A1034" w:rsidP="00E76AA6">
      <w:pPr>
        <w:pStyle w:val="Nadpis1"/>
      </w:pPr>
      <w:bookmarkStart w:id="7" w:name="_Toc477447827"/>
      <w:r w:rsidRPr="00E76AA6">
        <w:t>K</w:t>
      </w:r>
      <w:r w:rsidR="004B2DE6" w:rsidRPr="00E76AA6">
        <w:t>ontaktní údaje</w:t>
      </w:r>
      <w:bookmarkEnd w:id="5"/>
      <w:r w:rsidR="00281121" w:rsidRPr="00E76AA6">
        <w:t xml:space="preserve">, </w:t>
      </w:r>
      <w:r w:rsidR="006252DC" w:rsidRPr="00E76AA6">
        <w:t xml:space="preserve">způsob </w:t>
      </w:r>
      <w:r w:rsidR="00281121" w:rsidRPr="00E76AA6">
        <w:t>komunikace</w:t>
      </w:r>
      <w:bookmarkEnd w:id="6"/>
      <w:bookmarkEnd w:id="7"/>
    </w:p>
    <w:p w14:paraId="7F91D040" w14:textId="77777777" w:rsidR="004B2DE6" w:rsidRPr="00E76AA6" w:rsidRDefault="004B2DE6" w:rsidP="00E76AA6">
      <w:pPr>
        <w:pStyle w:val="Nadpis2"/>
      </w:pPr>
      <w:bookmarkStart w:id="8" w:name="_Ref162670807"/>
      <w:r w:rsidRPr="00E76AA6">
        <w:t>Kontaktní údaje</w:t>
      </w:r>
      <w:bookmarkEnd w:id="8"/>
    </w:p>
    <w:p w14:paraId="17EF279B" w14:textId="0E834554" w:rsidR="00522582" w:rsidRPr="00FC2C87" w:rsidRDefault="00522582" w:rsidP="007A36EA">
      <w:pPr>
        <w:pStyle w:val="PFI-odstavec"/>
      </w:pPr>
      <w:bookmarkStart w:id="9" w:name="_Ref411205367"/>
      <w:r w:rsidRPr="00E76AA6">
        <w:t xml:space="preserve">Zadavatel pověřil výkonem činností zadavatele při této veřejné zakázce v souladu s § </w:t>
      </w:r>
      <w:r w:rsidR="007A36EA">
        <w:t>4</w:t>
      </w:r>
      <w:r w:rsidR="00C732CB">
        <w:t>3</w:t>
      </w:r>
      <w:r w:rsidR="00E76AA6">
        <w:t xml:space="preserve"> </w:t>
      </w:r>
      <w:r w:rsidR="00E76AA6" w:rsidRPr="00FC2C87">
        <w:t>ZZVZ</w:t>
      </w:r>
      <w:r w:rsidRPr="00FC2C87">
        <w:t xml:space="preserve"> poradce PFI s.r.o., IČ 27208389, se sídlem Prvního pluku 206/7, </w:t>
      </w:r>
      <w:r w:rsidR="009F6631" w:rsidRPr="00FC2C87">
        <w:t xml:space="preserve">186 00 </w:t>
      </w:r>
      <w:r w:rsidRPr="00FC2C87">
        <w:t>Praha 8</w:t>
      </w:r>
      <w:r w:rsidR="009F6631" w:rsidRPr="00FC2C87">
        <w:t xml:space="preserve"> - Karlín</w:t>
      </w:r>
      <w:r w:rsidRPr="00FC2C87">
        <w:t>.</w:t>
      </w:r>
      <w:bookmarkEnd w:id="9"/>
    </w:p>
    <w:p w14:paraId="4CCF1EA1" w14:textId="77777777" w:rsidR="00A778E9" w:rsidRPr="00E76AA6" w:rsidRDefault="00456DBA" w:rsidP="00E76AA6">
      <w:pPr>
        <w:pStyle w:val="PFI-odstavec"/>
      </w:pPr>
      <w:r w:rsidRPr="00E76AA6">
        <w:t xml:space="preserve">Pro účely komunikace v průběhu zadávacího řízení (např. pro </w:t>
      </w:r>
      <w:r w:rsidR="00E86C6E" w:rsidRPr="00E76AA6">
        <w:t xml:space="preserve">příjem žádostí o </w:t>
      </w:r>
      <w:r w:rsidR="004672EC">
        <w:t>vysvětlení Zadávací dokumentace</w:t>
      </w:r>
      <w:r w:rsidRPr="00E76AA6">
        <w:t xml:space="preserve">) </w:t>
      </w:r>
      <w:r w:rsidR="00522582" w:rsidRPr="00E76AA6">
        <w:t xml:space="preserve">se </w:t>
      </w:r>
      <w:r w:rsidRPr="00E76AA6">
        <w:t xml:space="preserve">stanovuje </w:t>
      </w:r>
      <w:r w:rsidR="00A778E9" w:rsidRPr="00E76AA6">
        <w:t xml:space="preserve">tato </w:t>
      </w:r>
      <w:r w:rsidR="00522582" w:rsidRPr="00E76AA6">
        <w:t>kontaktní osoba</w:t>
      </w:r>
      <w:r w:rsidR="00A778E9" w:rsidRPr="00E76AA6">
        <w:t>:</w:t>
      </w:r>
    </w:p>
    <w:p w14:paraId="40D6DE9B" w14:textId="5BEFCE3F" w:rsidR="00E76AA6" w:rsidRPr="00E76AA6" w:rsidRDefault="00E76AA6" w:rsidP="00564DE3">
      <w:pPr>
        <w:numPr>
          <w:ilvl w:val="0"/>
          <w:numId w:val="7"/>
        </w:numPr>
        <w:rPr>
          <w:b/>
        </w:rPr>
      </w:pPr>
      <w:bookmarkStart w:id="10" w:name="_Ref162670810"/>
      <w:r w:rsidRPr="00E63933">
        <w:rPr>
          <w:b/>
        </w:rPr>
        <w:t xml:space="preserve">Mgr. </w:t>
      </w:r>
      <w:r w:rsidR="00505BFE" w:rsidRPr="00E63933">
        <w:rPr>
          <w:b/>
        </w:rPr>
        <w:t>Karel</w:t>
      </w:r>
      <w:r w:rsidR="00505BFE">
        <w:rPr>
          <w:b/>
        </w:rPr>
        <w:t xml:space="preserve"> Špáda</w:t>
      </w:r>
      <w:r w:rsidRPr="00E76AA6">
        <w:rPr>
          <w:b/>
        </w:rPr>
        <w:t>, e-</w:t>
      </w:r>
      <w:r w:rsidRPr="00E912A0">
        <w:rPr>
          <w:b/>
        </w:rPr>
        <w:t xml:space="preserve">mail </w:t>
      </w:r>
      <w:r w:rsidR="00DB2104">
        <w:rPr>
          <w:b/>
        </w:rPr>
        <w:t>muml-v28</w:t>
      </w:r>
      <w:r w:rsidRPr="00E912A0">
        <w:rPr>
          <w:b/>
        </w:rPr>
        <w:t>@pfi.cz.</w:t>
      </w:r>
    </w:p>
    <w:p w14:paraId="0E26AB2A" w14:textId="77777777" w:rsidR="00236159" w:rsidRPr="00E76AA6" w:rsidRDefault="00236159" w:rsidP="00E76AA6">
      <w:pPr>
        <w:pStyle w:val="Nadpis2"/>
      </w:pPr>
      <w:r w:rsidRPr="00E76AA6">
        <w:t>Profil zadavatele</w:t>
      </w:r>
    </w:p>
    <w:p w14:paraId="7C812F57" w14:textId="77777777" w:rsidR="00236159" w:rsidRPr="00E76AA6" w:rsidRDefault="00236159" w:rsidP="00E76AA6">
      <w:pPr>
        <w:pStyle w:val="PFI-odstavec"/>
      </w:pPr>
      <w:r w:rsidRPr="00E76AA6">
        <w:t xml:space="preserve">Zadavatel využívá pro uveřejňování profil zadavatele v souladu se </w:t>
      </w:r>
      <w:r w:rsidR="00E76AA6">
        <w:t>Z</w:t>
      </w:r>
      <w:r w:rsidRPr="00E76AA6">
        <w:t>ZVZ.</w:t>
      </w:r>
    </w:p>
    <w:p w14:paraId="5274A0AC" w14:textId="12429A25" w:rsidR="009F6631" w:rsidRPr="00E76AA6" w:rsidRDefault="00236159" w:rsidP="009F6631">
      <w:pPr>
        <w:pStyle w:val="PFI-odstavec"/>
      </w:pPr>
      <w:r w:rsidRPr="00E76AA6">
        <w:t xml:space="preserve">Adresa profilu zadavatele je </w:t>
      </w:r>
      <w:hyperlink r:id="rId11" w:history="1">
        <w:r w:rsidR="00DB2104" w:rsidRPr="00E27443">
          <w:rPr>
            <w:rStyle w:val="Hypertextovodkaz"/>
          </w:rPr>
          <w:t>https://zakazky.muml.cz/profile_display_2.html</w:t>
        </w:r>
      </w:hyperlink>
      <w:r w:rsidR="00DB2104">
        <w:t>.</w:t>
      </w:r>
    </w:p>
    <w:p w14:paraId="000FE5DE" w14:textId="77777777" w:rsidR="004B2DE6" w:rsidRPr="00E76AA6" w:rsidRDefault="006252DC" w:rsidP="00A02E3B">
      <w:pPr>
        <w:pStyle w:val="Nadpis2"/>
      </w:pPr>
      <w:r w:rsidRPr="00E76AA6">
        <w:t xml:space="preserve">Způsob </w:t>
      </w:r>
      <w:r w:rsidR="004B2DE6" w:rsidRPr="00A02E3B">
        <w:t>komunikace</w:t>
      </w:r>
      <w:r w:rsidR="004B2DE6" w:rsidRPr="00E76AA6">
        <w:t xml:space="preserve"> v průběhu zadávacího řízení</w:t>
      </w:r>
      <w:bookmarkEnd w:id="10"/>
    </w:p>
    <w:p w14:paraId="7CF22FCB" w14:textId="77777777" w:rsidR="0000222C" w:rsidRDefault="00A02E3B" w:rsidP="00A02E3B">
      <w:pPr>
        <w:pStyle w:val="PFI-odstavec"/>
      </w:pPr>
      <w:r w:rsidRPr="00A02E3B">
        <w:t xml:space="preserve">Komunikace mezi zadavatelem a dodavateli v zadávacím řízení </w:t>
      </w:r>
      <w:r>
        <w:t>probíhá písemně v souladu se ZZVZ, zejména s § 211 ZZVZ.</w:t>
      </w:r>
    </w:p>
    <w:p w14:paraId="72206DC8" w14:textId="77777777" w:rsidR="00A02E3B" w:rsidRPr="00E76AA6" w:rsidRDefault="00A02E3B" w:rsidP="00A02E3B">
      <w:pPr>
        <w:pStyle w:val="PFI-odstavec"/>
      </w:pPr>
      <w:r>
        <w:t xml:space="preserve">Zadavatel výslovně upozorňuje, že vysvětlení, doplnění a změny Zadávací dokumentace (dříve známé jako Dodatečné informace k zadávacím podmínkám podle zákona č. 137/2006 Sb.) uveřejňuje </w:t>
      </w:r>
      <w:r w:rsidR="005C4D49">
        <w:t xml:space="preserve">pouze </w:t>
      </w:r>
      <w:r>
        <w:t xml:space="preserve">na profilu zadavatele (viz též § </w:t>
      </w:r>
      <w:r w:rsidR="00687650">
        <w:t>98 ZZVZ) a nerozesílá jednotlivým dodavatelům.</w:t>
      </w:r>
    </w:p>
    <w:p w14:paraId="61208844" w14:textId="77777777" w:rsidR="00A02E3B" w:rsidRDefault="00A02E3B" w:rsidP="00564DE3">
      <w:pPr>
        <w:pStyle w:val="PFI-odstavec"/>
      </w:pPr>
      <w:r>
        <w:t>Zadavatel dále výslovně upozorňuje, že podle § 211 odst. 6 ZZVZ platí, že p</w:t>
      </w:r>
      <w:r w:rsidRPr="00A02E3B">
        <w:t>ři komunikaci uskutečňované prostřednictvím datové schránky je dokument doručen dodáním do datové schránky adresáta</w:t>
      </w:r>
      <w:r>
        <w:t>.</w:t>
      </w:r>
    </w:p>
    <w:p w14:paraId="38188739" w14:textId="77777777" w:rsidR="00E97680" w:rsidRPr="00A02E3B" w:rsidRDefault="00236159" w:rsidP="00A02E3B">
      <w:pPr>
        <w:pStyle w:val="PFI-odstavec"/>
      </w:pPr>
      <w:r w:rsidRPr="00A02E3B">
        <w:t>Dodavatel</w:t>
      </w:r>
      <w:r w:rsidR="00A02E3B" w:rsidRPr="00A02E3B">
        <w:t>i</w:t>
      </w:r>
      <w:r w:rsidRPr="00A02E3B">
        <w:t xml:space="preserve"> je </w:t>
      </w:r>
      <w:r w:rsidR="00A02E3B" w:rsidRPr="00A02E3B">
        <w:t xml:space="preserve">doporučeno </w:t>
      </w:r>
      <w:r w:rsidRPr="00A02E3B">
        <w:t xml:space="preserve">při komunikaci prostřednictvím elektronické pošty </w:t>
      </w:r>
      <w:r w:rsidR="00A02E3B">
        <w:t xml:space="preserve">(viz též § 211 odst. </w:t>
      </w:r>
      <w:r w:rsidR="00687650">
        <w:t>5 ZZVZ</w:t>
      </w:r>
      <w:r w:rsidR="00A02E3B">
        <w:t xml:space="preserve">) </w:t>
      </w:r>
      <w:r w:rsidR="00A02E3B" w:rsidRPr="00A02E3B">
        <w:t>vždy</w:t>
      </w:r>
      <w:r w:rsidRPr="00A02E3B">
        <w:t xml:space="preserve"> potvrdit neprodleně zadavateli přijetí každé zprávy. Za takovéto potvrzení se považuje též automatické potvrzení o přečtení zprávy (jejím zobrazení na monitoru příjemce) nebo automatické potvrzení o doručení na poštovní server. </w:t>
      </w:r>
      <w:r w:rsidR="004B2DE6" w:rsidRPr="00A02E3B">
        <w:t xml:space="preserve">Za </w:t>
      </w:r>
      <w:r w:rsidR="00FE1B6D" w:rsidRPr="00A02E3B">
        <w:t xml:space="preserve">dobu </w:t>
      </w:r>
      <w:r w:rsidR="004B2DE6" w:rsidRPr="00A02E3B">
        <w:t>doručen</w:t>
      </w:r>
      <w:r w:rsidR="00570A75" w:rsidRPr="00A02E3B">
        <w:t>í</w:t>
      </w:r>
      <w:r w:rsidR="004B2DE6" w:rsidRPr="00A02E3B">
        <w:t xml:space="preserve"> se považuje okamžik přijetí zprávy poštovním serverem </w:t>
      </w:r>
      <w:r w:rsidR="0020045B" w:rsidRPr="00A02E3B">
        <w:t>dodavatele</w:t>
      </w:r>
      <w:r w:rsidR="004B2DE6" w:rsidRPr="00A02E3B">
        <w:t xml:space="preserve">. </w:t>
      </w:r>
    </w:p>
    <w:p w14:paraId="20086C7A" w14:textId="77777777" w:rsidR="00D33EE8" w:rsidRPr="00E76AA6" w:rsidRDefault="00D33EE8" w:rsidP="00B334FF">
      <w:pPr>
        <w:pStyle w:val="Nadpis1"/>
      </w:pPr>
      <w:bookmarkStart w:id="11" w:name="_Toc159843935"/>
      <w:bookmarkStart w:id="12" w:name="_Toc477447828"/>
      <w:r w:rsidRPr="00B334FF">
        <w:t>Vymezení</w:t>
      </w:r>
      <w:r w:rsidRPr="00E76AA6">
        <w:t xml:space="preserve"> veřejné zakázky</w:t>
      </w:r>
      <w:bookmarkEnd w:id="11"/>
      <w:bookmarkEnd w:id="12"/>
    </w:p>
    <w:p w14:paraId="7E3644D5" w14:textId="77777777" w:rsidR="004B2DE6" w:rsidRPr="00E76AA6" w:rsidRDefault="004B2DE6" w:rsidP="00E76AA6">
      <w:pPr>
        <w:pStyle w:val="Nadpis2"/>
      </w:pPr>
      <w:bookmarkStart w:id="13" w:name="_Ref387146830"/>
      <w:r w:rsidRPr="00E76AA6">
        <w:t>Předmět veřejné zakázky</w:t>
      </w:r>
      <w:bookmarkEnd w:id="13"/>
    </w:p>
    <w:p w14:paraId="02FB8848" w14:textId="1EC009CB" w:rsidR="00CA5212" w:rsidRPr="00E76AA6" w:rsidRDefault="00D33EE8" w:rsidP="00E76AA6">
      <w:pPr>
        <w:pStyle w:val="PFI-odstavec"/>
      </w:pPr>
      <w:r w:rsidRPr="00BE0DB1">
        <w:t>Předmětem plnění veřejné zakázky j</w:t>
      </w:r>
      <w:r w:rsidR="00E86C6E" w:rsidRPr="00BE0DB1">
        <w:t>sou</w:t>
      </w:r>
      <w:r w:rsidRPr="00BE0DB1">
        <w:t xml:space="preserve"> </w:t>
      </w:r>
      <w:r w:rsidR="00E86C6E" w:rsidRPr="00BE0DB1">
        <w:t>dodávky</w:t>
      </w:r>
      <w:r w:rsidR="00BE0DB1" w:rsidRPr="00BE0DB1">
        <w:t xml:space="preserve"> včetně služeb </w:t>
      </w:r>
      <w:r w:rsidR="00167EFB" w:rsidRPr="00BE0DB1">
        <w:t xml:space="preserve">– </w:t>
      </w:r>
      <w:r w:rsidR="00913A33">
        <w:t xml:space="preserve">pro </w:t>
      </w:r>
      <w:r w:rsidR="00913A33" w:rsidRPr="00833402">
        <w:t xml:space="preserve">vybudování virtualizační platformy včetně zálohovacího systému a systému pro řízení virtuálních desktopů, </w:t>
      </w:r>
      <w:r w:rsidR="00913A33" w:rsidRPr="00833402">
        <w:lastRenderedPageBreak/>
        <w:t>implementace systémů pro správu požadavků a správu a evidenci majetku a dodávka koncových zařízení</w:t>
      </w:r>
      <w:r w:rsidR="003E760C">
        <w:t>, s</w:t>
      </w:r>
      <w:r w:rsidR="003E760C" w:rsidRPr="003759B0">
        <w:t>oučástí plnění je dále podpora provozu.</w:t>
      </w:r>
    </w:p>
    <w:p w14:paraId="637BF5EA" w14:textId="77777777" w:rsidR="00125A45" w:rsidRPr="00BE0DB1" w:rsidRDefault="00125A45" w:rsidP="00125A45">
      <w:pPr>
        <w:pStyle w:val="PFI-odstavec"/>
      </w:pPr>
      <w:r w:rsidRPr="00E76AA6">
        <w:t>Bližší specifikace plnění této veřejné zakázky je uvedena v Příloze 3</w:t>
      </w:r>
      <w:r>
        <w:t>.a</w:t>
      </w:r>
      <w:r w:rsidRPr="00E76AA6">
        <w:t xml:space="preserve"> (Technická </w:t>
      </w:r>
      <w:r w:rsidRPr="00BE0DB1">
        <w:t>specifikace)</w:t>
      </w:r>
      <w:r>
        <w:t xml:space="preserve">, </w:t>
      </w:r>
      <w:r w:rsidRPr="00E76AA6">
        <w:t>Příloze 3</w:t>
      </w:r>
      <w:r>
        <w:t xml:space="preserve">.b (Katalogové listy), </w:t>
      </w:r>
      <w:r w:rsidRPr="00BE0DB1">
        <w:t>Příloze 4</w:t>
      </w:r>
      <w:r>
        <w:t>.a</w:t>
      </w:r>
      <w:r w:rsidRPr="00BE0DB1">
        <w:t xml:space="preserve"> (</w:t>
      </w:r>
      <w:r>
        <w:t>Smlouva o dílo</w:t>
      </w:r>
      <w:r w:rsidRPr="00BE0DB1">
        <w:t>)</w:t>
      </w:r>
      <w:r>
        <w:t xml:space="preserve"> a </w:t>
      </w:r>
      <w:r w:rsidRPr="00BE0DB1">
        <w:t>Příloze 4</w:t>
      </w:r>
      <w:r>
        <w:t>.b</w:t>
      </w:r>
      <w:r w:rsidRPr="00BE0DB1">
        <w:t xml:space="preserve"> (</w:t>
      </w:r>
      <w:r w:rsidRPr="002B158F">
        <w:t>Smlouva o zabezpečení podpory provozu</w:t>
      </w:r>
      <w:r w:rsidRPr="00BE0DB1">
        <w:t>).</w:t>
      </w:r>
    </w:p>
    <w:p w14:paraId="0A36E62A" w14:textId="77777777" w:rsidR="00B05083" w:rsidRPr="009C5496" w:rsidRDefault="004B2DE6" w:rsidP="004672EC">
      <w:pPr>
        <w:pStyle w:val="PFI-odstavec"/>
      </w:pPr>
      <w:r w:rsidRPr="009C5496">
        <w:t>Vymezení předmětu veřejné zakázky dle klasifikac</w:t>
      </w:r>
      <w:r w:rsidR="00652687" w:rsidRPr="009C5496">
        <w:t>e</w:t>
      </w:r>
      <w:r w:rsidRPr="009C5496">
        <w:t xml:space="preserve"> služeb stanovené zvláštním právním předpisem </w:t>
      </w:r>
      <w:r w:rsidR="00652687" w:rsidRPr="009C5496">
        <w:t xml:space="preserve">(CPV kód) </w:t>
      </w:r>
      <w:r w:rsidRPr="009C5496">
        <w:t xml:space="preserve">je </w:t>
      </w:r>
      <w:r w:rsidR="00890CE2" w:rsidRPr="009C5496">
        <w:t>následující</w:t>
      </w:r>
      <w:r w:rsidR="00B05083" w:rsidRPr="009C5496">
        <w:t>:</w:t>
      </w:r>
    </w:p>
    <w:p w14:paraId="3619D44B" w14:textId="0A631C77" w:rsidR="00E8155C" w:rsidRDefault="00E8155C" w:rsidP="00E8155C">
      <w:pPr>
        <w:pStyle w:val="PFI-odstavec"/>
        <w:numPr>
          <w:ilvl w:val="0"/>
          <w:numId w:val="0"/>
        </w:numPr>
        <w:ind w:left="1416"/>
      </w:pPr>
      <w:r>
        <w:t>48810000-9</w:t>
      </w:r>
      <w:r>
        <w:tab/>
        <w:t>Informační systémy</w:t>
      </w:r>
    </w:p>
    <w:p w14:paraId="7212ED3A" w14:textId="77777777" w:rsidR="00FC292D" w:rsidRDefault="00FC292D" w:rsidP="00FC292D">
      <w:pPr>
        <w:pStyle w:val="PFI-odstavec"/>
        <w:numPr>
          <w:ilvl w:val="0"/>
          <w:numId w:val="0"/>
        </w:numPr>
        <w:ind w:left="1416"/>
      </w:pPr>
      <w:r>
        <w:t>48820000-2</w:t>
      </w:r>
      <w:r>
        <w:tab/>
        <w:t>Servery</w:t>
      </w:r>
    </w:p>
    <w:p w14:paraId="5B23B6CA" w14:textId="77777777" w:rsidR="00FC292D" w:rsidRDefault="00FC292D" w:rsidP="00FC292D">
      <w:pPr>
        <w:pStyle w:val="PFI-odstavec"/>
        <w:numPr>
          <w:ilvl w:val="0"/>
          <w:numId w:val="0"/>
        </w:numPr>
        <w:ind w:left="1416"/>
      </w:pPr>
      <w:r>
        <w:t>48823000-3</w:t>
      </w:r>
      <w:r>
        <w:tab/>
        <w:t>Souborové servery</w:t>
      </w:r>
    </w:p>
    <w:p w14:paraId="042852CE" w14:textId="77777777" w:rsidR="00FC292D" w:rsidRDefault="00FC292D" w:rsidP="00FC292D">
      <w:pPr>
        <w:pStyle w:val="PFI-odstavec"/>
        <w:numPr>
          <w:ilvl w:val="0"/>
          <w:numId w:val="0"/>
        </w:numPr>
        <w:ind w:left="1416"/>
      </w:pPr>
      <w:r>
        <w:t>48210000-3</w:t>
      </w:r>
      <w:r>
        <w:tab/>
        <w:t>Balík programů pro výstavbu sítí</w:t>
      </w:r>
    </w:p>
    <w:p w14:paraId="19FD6023" w14:textId="77777777" w:rsidR="00FC292D" w:rsidRDefault="00FC292D" w:rsidP="00FC292D">
      <w:pPr>
        <w:pStyle w:val="PFI-odstavec"/>
        <w:numPr>
          <w:ilvl w:val="0"/>
          <w:numId w:val="0"/>
        </w:numPr>
        <w:ind w:left="1416"/>
      </w:pPr>
      <w:r>
        <w:t>48710000-8</w:t>
      </w:r>
      <w:r>
        <w:tab/>
        <w:t xml:space="preserve">Balík programů pro zálohování a obnovu dat </w:t>
      </w:r>
    </w:p>
    <w:p w14:paraId="1747C8B7" w14:textId="285DD424" w:rsidR="00FC292D" w:rsidRDefault="00FC292D" w:rsidP="00FC292D">
      <w:pPr>
        <w:pStyle w:val="PFI-odstavec"/>
        <w:numPr>
          <w:ilvl w:val="0"/>
          <w:numId w:val="0"/>
        </w:numPr>
        <w:ind w:left="1416"/>
      </w:pPr>
      <w:r>
        <w:t>32571000-6</w:t>
      </w:r>
      <w:r>
        <w:tab/>
        <w:t>Komunikační infrastruktura</w:t>
      </w:r>
    </w:p>
    <w:p w14:paraId="17F21984" w14:textId="77777777" w:rsidR="00E8155C" w:rsidRDefault="00E8155C" w:rsidP="00E8155C">
      <w:pPr>
        <w:pStyle w:val="PFI-odstavec"/>
        <w:numPr>
          <w:ilvl w:val="0"/>
          <w:numId w:val="0"/>
        </w:numPr>
        <w:ind w:left="1416"/>
      </w:pPr>
      <w:r>
        <w:t xml:space="preserve">72222300-0 </w:t>
      </w:r>
      <w:r>
        <w:tab/>
        <w:t>Počítačové a související služby</w:t>
      </w:r>
    </w:p>
    <w:p w14:paraId="3DC98F61" w14:textId="77777777" w:rsidR="00E8155C" w:rsidRDefault="00E8155C" w:rsidP="00E8155C">
      <w:pPr>
        <w:pStyle w:val="PFI-odstavec"/>
        <w:numPr>
          <w:ilvl w:val="0"/>
          <w:numId w:val="0"/>
        </w:numPr>
        <w:ind w:left="1416"/>
      </w:pPr>
      <w:r>
        <w:t xml:space="preserve">72227000-2 </w:t>
      </w:r>
      <w:r>
        <w:tab/>
        <w:t>Poradenské služby v oblasti integrace programového vybavení</w:t>
      </w:r>
    </w:p>
    <w:p w14:paraId="788E5F71" w14:textId="77777777" w:rsidR="00E8155C" w:rsidRDefault="00E8155C" w:rsidP="00E8155C">
      <w:pPr>
        <w:pStyle w:val="PFI-odstavec"/>
        <w:numPr>
          <w:ilvl w:val="0"/>
          <w:numId w:val="0"/>
        </w:numPr>
        <w:ind w:left="1416"/>
      </w:pPr>
      <w:r>
        <w:t>72263000-6</w:t>
      </w:r>
      <w:r>
        <w:tab/>
        <w:t>Implementace programového vybavení</w:t>
      </w:r>
    </w:p>
    <w:p w14:paraId="08F05EC7" w14:textId="77777777" w:rsidR="00E8155C" w:rsidRDefault="00E8155C" w:rsidP="00E8155C">
      <w:pPr>
        <w:pStyle w:val="PFI-odstavec"/>
        <w:numPr>
          <w:ilvl w:val="0"/>
          <w:numId w:val="0"/>
        </w:numPr>
        <w:ind w:left="1416"/>
      </w:pPr>
      <w:r>
        <w:t>48330000-0</w:t>
      </w:r>
      <w:r>
        <w:tab/>
        <w:t>Balík programů pro plánování a produktivitu</w:t>
      </w:r>
    </w:p>
    <w:p w14:paraId="3CB4E27E" w14:textId="77777777" w:rsidR="00E8155C" w:rsidRDefault="00E8155C" w:rsidP="00E8155C">
      <w:pPr>
        <w:pStyle w:val="PFI-odstavec"/>
        <w:numPr>
          <w:ilvl w:val="0"/>
          <w:numId w:val="0"/>
        </w:numPr>
        <w:ind w:left="1416"/>
      </w:pPr>
      <w:r>
        <w:t>72250000-2</w:t>
      </w:r>
      <w:r>
        <w:tab/>
        <w:t>Systémové a podpůrné služby</w:t>
      </w:r>
    </w:p>
    <w:p w14:paraId="6B9763DA" w14:textId="4FBACA81" w:rsidR="00B360FD" w:rsidRPr="006716E3" w:rsidRDefault="00B360FD" w:rsidP="00DB2104">
      <w:pPr>
        <w:pStyle w:val="PFI-odstavec"/>
      </w:pPr>
      <w:r w:rsidRPr="006716E3">
        <w:t>Předpoklá</w:t>
      </w:r>
      <w:r w:rsidR="00B23414" w:rsidRPr="006716E3">
        <w:t xml:space="preserve">daná hodnota veřejné zakázky je </w:t>
      </w:r>
      <w:r w:rsidR="00DB2104" w:rsidRPr="006716E3">
        <w:t xml:space="preserve">5 630 513 </w:t>
      </w:r>
      <w:r w:rsidRPr="006716E3">
        <w:t>Kč</w:t>
      </w:r>
      <w:r w:rsidR="00CD01C8" w:rsidRPr="006716E3">
        <w:t xml:space="preserve"> (bez DPH)</w:t>
      </w:r>
      <w:r w:rsidRPr="006716E3">
        <w:t>.</w:t>
      </w:r>
    </w:p>
    <w:p w14:paraId="29DE93DD" w14:textId="77777777" w:rsidR="00ED328E" w:rsidRDefault="00ED328E" w:rsidP="00E76AA6">
      <w:pPr>
        <w:pStyle w:val="PFI-odstavec"/>
      </w:pPr>
      <w:r w:rsidRPr="00E76AA6">
        <w:t xml:space="preserve">Zadavatel dále upozorňuje </w:t>
      </w:r>
      <w:r w:rsidR="00FF287E">
        <w:t xml:space="preserve">dodavatele </w:t>
      </w:r>
      <w:r w:rsidRPr="00E76AA6">
        <w:t xml:space="preserve">na skutečnost, že zadávací dokumentace je souhrnem požadavků zadavatele a nikoliv konečným souhrnem veškerých požadavků vyplývajících z obecně známých platných </w:t>
      </w:r>
      <w:r w:rsidR="00546818" w:rsidRPr="00E76AA6">
        <w:t xml:space="preserve">právních předpisů </w:t>
      </w:r>
      <w:r w:rsidRPr="00E76AA6">
        <w:t xml:space="preserve">a odborných norem. </w:t>
      </w:r>
      <w:r w:rsidR="00FF287E">
        <w:t xml:space="preserve">Dodavatel </w:t>
      </w:r>
      <w:r w:rsidRPr="00E76AA6">
        <w:t xml:space="preserve">se </w:t>
      </w:r>
      <w:r w:rsidRPr="00A16372">
        <w:t>tak musí při zpracování své nabídky vždy řídit nejen požadavky obsaženými v zadávací</w:t>
      </w:r>
      <w:r w:rsidRPr="00E76AA6">
        <w:t xml:space="preserve"> dokumentaci, ale též ustanoveními příslušných obecně závazných norem.</w:t>
      </w:r>
    </w:p>
    <w:p w14:paraId="5ADB4DE4" w14:textId="77777777" w:rsidR="00EA7C14" w:rsidRPr="00E76AA6" w:rsidRDefault="00EA7C14" w:rsidP="00564DE3">
      <w:pPr>
        <w:pStyle w:val="Nadpis3"/>
        <w:numPr>
          <w:ilvl w:val="2"/>
          <w:numId w:val="13"/>
        </w:numPr>
      </w:pPr>
      <w:r>
        <w:t xml:space="preserve">Odkazy </w:t>
      </w:r>
      <w:r w:rsidR="001A219D">
        <w:t>při stanovení technických podmínek</w:t>
      </w:r>
    </w:p>
    <w:p w14:paraId="2A47FE0B" w14:textId="77777777" w:rsidR="001A219D" w:rsidRPr="00112B72" w:rsidRDefault="001A219D" w:rsidP="001A219D">
      <w:pPr>
        <w:pStyle w:val="PFI-odstavec"/>
      </w:pPr>
      <w:bookmarkStart w:id="14" w:name="_Ref242589423"/>
      <w:bookmarkStart w:id="15" w:name="_Toc159843936"/>
      <w:r>
        <w:t xml:space="preserve">Zadavatel v Zadávací dokumentaci používá odkazy </w:t>
      </w:r>
      <w:r w:rsidRPr="00112B72">
        <w:t>na určité dodavatele nebo výrobky, nebo na patenty na vynálezy, užitné vzory, průmyslové vzory, ochranné známky nebo označení původu</w:t>
      </w:r>
      <w:r>
        <w:t xml:space="preserve"> (dále v tomto bodě též pouze „odkaz“) zpravidla v souvislosti s popisem stávajícího stavu prostředí zadavatele.</w:t>
      </w:r>
    </w:p>
    <w:p w14:paraId="26E9BA26" w14:textId="77777777" w:rsidR="001A219D" w:rsidRDefault="001A219D" w:rsidP="001A219D">
      <w:pPr>
        <w:pStyle w:val="PFI-odstavec"/>
      </w:pPr>
      <w:r w:rsidRPr="00E76AA6">
        <w:t>Pokud se v </w:t>
      </w:r>
      <w:r>
        <w:t>Zadávací</w:t>
      </w:r>
      <w:r w:rsidRPr="00E76AA6">
        <w:t xml:space="preserve"> </w:t>
      </w:r>
      <w:r>
        <w:t xml:space="preserve">dokumentaci odkaz </w:t>
      </w:r>
      <w:r w:rsidRPr="00E76AA6">
        <w:t>vyskytuje</w:t>
      </w:r>
      <w:r>
        <w:t xml:space="preserve"> v jiné než výše uvedené souvislosti</w:t>
      </w:r>
      <w:r w:rsidRPr="00E76AA6">
        <w:t xml:space="preserve">, </w:t>
      </w:r>
      <w:r>
        <w:t xml:space="preserve">je </w:t>
      </w:r>
      <w:r w:rsidRPr="00E76AA6">
        <w:t>to v</w:t>
      </w:r>
      <w:r>
        <w:t xml:space="preserve"> takových </w:t>
      </w:r>
      <w:r w:rsidRPr="00E76AA6">
        <w:t xml:space="preserve">případech, kdy </w:t>
      </w:r>
      <w:r w:rsidRPr="00EA7C14">
        <w:t xml:space="preserve">stanovení technických podmínek nemůže být dostatečně přesné nebo srozumitelné. U každého takového odkazu </w:t>
      </w:r>
      <w:r>
        <w:t xml:space="preserve">platí, že </w:t>
      </w:r>
      <w:r w:rsidRPr="00EA7C14">
        <w:t xml:space="preserve">zadavatel </w:t>
      </w:r>
      <w:r>
        <w:t xml:space="preserve">umožňuje dodavatelům </w:t>
      </w:r>
      <w:r w:rsidRPr="00EA7C14">
        <w:t>nabídnout rovnocenné řešení</w:t>
      </w:r>
      <w:r>
        <w:t>; zadavatel vynaložil veškerou péči, aby taková skutečnost v každém takovém případě byla též výslovně uvedena</w:t>
      </w:r>
      <w:r w:rsidRPr="00E76AA6">
        <w:t>.</w:t>
      </w:r>
    </w:p>
    <w:p w14:paraId="6F970896" w14:textId="77777777" w:rsidR="001A219D" w:rsidRDefault="001A219D" w:rsidP="001A219D">
      <w:pPr>
        <w:pStyle w:val="PFI-odstavec"/>
      </w:pPr>
      <w:r w:rsidRPr="00EA7C14">
        <w:t xml:space="preserve">Pokud zadavatel </w:t>
      </w:r>
      <w:r>
        <w:t xml:space="preserve">v Zadávací dokumentaci </w:t>
      </w:r>
      <w:r w:rsidRPr="00EA7C14">
        <w:t>stanoví technické podmínky prostřednictvím odkazu na normy nebo technické dokumenty,</w:t>
      </w:r>
      <w:r>
        <w:t xml:space="preserve"> </w:t>
      </w:r>
      <w:r w:rsidRPr="00EA7C14">
        <w:t xml:space="preserve">zadavatel </w:t>
      </w:r>
      <w:r>
        <w:t xml:space="preserve">umožňuje dodavatelům </w:t>
      </w:r>
      <w:r w:rsidRPr="00EA7C14">
        <w:t>nabídnout rovnocenné řešení</w:t>
      </w:r>
      <w:r>
        <w:t>; zadavatel vynaložil veškerou péči, aby taková skutečnost v každém takovém případě byla též výslovně uvedena</w:t>
      </w:r>
      <w:r w:rsidRPr="00E76AA6">
        <w:t>.</w:t>
      </w:r>
    </w:p>
    <w:p w14:paraId="103158F5" w14:textId="77777777" w:rsidR="001A219D" w:rsidRPr="00E76AA6" w:rsidRDefault="001A219D" w:rsidP="001A219D">
      <w:pPr>
        <w:pStyle w:val="PFI-odstavec"/>
      </w:pPr>
      <w:r>
        <w:t>Pokud by měl dodavatel jakékoli nejasnosti ohledně stanovení technických podmínek, zadavatel doporučuje využít institutu žádosti o vysvětlení či doplnění Zadávací dokumentace.</w:t>
      </w:r>
    </w:p>
    <w:p w14:paraId="502E6939" w14:textId="77777777" w:rsidR="00E25AB4" w:rsidRPr="00E76AA6" w:rsidRDefault="00E25AB4" w:rsidP="000B4061">
      <w:pPr>
        <w:pStyle w:val="Nadpis2"/>
      </w:pPr>
      <w:bookmarkStart w:id="16" w:name="_Ref471208195"/>
      <w:r w:rsidRPr="00E76AA6">
        <w:lastRenderedPageBreak/>
        <w:t xml:space="preserve">Další požadavky vzhledem k předmětu </w:t>
      </w:r>
      <w:r w:rsidRPr="000B4061">
        <w:t>veřejné</w:t>
      </w:r>
      <w:r w:rsidRPr="00E76AA6">
        <w:t xml:space="preserve"> zakázky</w:t>
      </w:r>
      <w:bookmarkEnd w:id="14"/>
      <w:bookmarkEnd w:id="16"/>
    </w:p>
    <w:p w14:paraId="293DE954" w14:textId="77777777" w:rsidR="00350BBD" w:rsidRPr="00E76AA6" w:rsidRDefault="00FF287E" w:rsidP="00B334FF">
      <w:pPr>
        <w:pStyle w:val="PFI-odstavec"/>
      </w:pPr>
      <w:r>
        <w:t xml:space="preserve">Dodavatel </w:t>
      </w:r>
      <w:r w:rsidR="00350BBD" w:rsidRPr="00E76AA6">
        <w:t xml:space="preserve">bere na vědomí, že on sám i jeho </w:t>
      </w:r>
      <w:r w:rsidR="00B334FF">
        <w:t>pod</w:t>
      </w:r>
      <w:r w:rsidR="00350BBD" w:rsidRPr="00B334FF">
        <w:t>dodavatelé</w:t>
      </w:r>
      <w:r w:rsidR="00350BBD" w:rsidRPr="00E76AA6">
        <w:t xml:space="preserve"> jsou povinni spolupodílet se a umožnit kontrolu vynaložených prostředků vyplývající ze zákona č. 320/2001 Sb., o finanční kontrole ve veřejné správě a o změně některých zákonů, ve znění pozdějších předpisů.</w:t>
      </w:r>
    </w:p>
    <w:p w14:paraId="472CFA75" w14:textId="58B0EBE1" w:rsidR="00350BBD" w:rsidRPr="00FC2C87" w:rsidRDefault="00350BBD" w:rsidP="00496942">
      <w:pPr>
        <w:pStyle w:val="PFI-odstavec"/>
      </w:pPr>
      <w:r w:rsidRPr="00E76AA6">
        <w:t xml:space="preserve">Předmět </w:t>
      </w:r>
      <w:r w:rsidRPr="00B334FF">
        <w:t>veřejné</w:t>
      </w:r>
      <w:r w:rsidRPr="00E76AA6">
        <w:t xml:space="preserve"> zakázky </w:t>
      </w:r>
      <w:r w:rsidR="000242BB" w:rsidRPr="00E76AA6">
        <w:t xml:space="preserve">je spolufinancován </w:t>
      </w:r>
      <w:r w:rsidR="000242BB" w:rsidRPr="00DA3B59">
        <w:t>Evropskou unií z Integrovaného regionálního operačního programu 06, Specifický cíl 3.2, výzva č. 28</w:t>
      </w:r>
      <w:r w:rsidR="000242BB" w:rsidRPr="00E76AA6">
        <w:t>.</w:t>
      </w:r>
      <w:r w:rsidR="000242BB">
        <w:t xml:space="preserve"> Registrační číslo projektu</w:t>
      </w:r>
      <w:r w:rsidR="00181A5B">
        <w:t xml:space="preserve"> </w:t>
      </w:r>
      <w:r w:rsidR="00675F7C" w:rsidRPr="006C4C01">
        <w:rPr>
          <w:szCs w:val="22"/>
        </w:rPr>
        <w:t>„</w:t>
      </w:r>
      <w:r w:rsidR="00496942" w:rsidRPr="00496942">
        <w:rPr>
          <w:szCs w:val="22"/>
        </w:rPr>
        <w:t xml:space="preserve">Modernizace </w:t>
      </w:r>
      <w:r w:rsidR="00496942" w:rsidRPr="00FC2C87">
        <w:rPr>
          <w:szCs w:val="22"/>
        </w:rPr>
        <w:t xml:space="preserve">informačního systému </w:t>
      </w:r>
      <w:r w:rsidR="000E2176" w:rsidRPr="00FC2C87">
        <w:rPr>
          <w:szCs w:val="22"/>
        </w:rPr>
        <w:t>Města Mariánské Lázně</w:t>
      </w:r>
      <w:r w:rsidR="00675F7C" w:rsidRPr="00FC2C87">
        <w:rPr>
          <w:szCs w:val="22"/>
        </w:rPr>
        <w:t>“ je CZ.06.3.05/0.0/0.0/16_044/0005456</w:t>
      </w:r>
      <w:r w:rsidR="000242BB" w:rsidRPr="00FC2C87">
        <w:t>.</w:t>
      </w:r>
    </w:p>
    <w:p w14:paraId="23912429" w14:textId="77777777" w:rsidR="009B5CF1" w:rsidRDefault="009B5CF1" w:rsidP="00B334FF">
      <w:r w:rsidRPr="00A940CE">
        <w:t>Zadavatel nejdůležitější povinnosti vyplývající ze spolufinancování z</w:t>
      </w:r>
      <w:r>
        <w:t xml:space="preserve"> dotačních prostředků </w:t>
      </w:r>
      <w:r w:rsidRPr="00A940CE">
        <w:t>začlenil do zadávací dokumentace.</w:t>
      </w:r>
    </w:p>
    <w:p w14:paraId="12250194" w14:textId="77777777" w:rsidR="00350BBD" w:rsidRPr="00E76AA6" w:rsidRDefault="00FF287E" w:rsidP="00B334FF">
      <w:r>
        <w:t xml:space="preserve">Dodavatel </w:t>
      </w:r>
      <w:r w:rsidR="00350BBD" w:rsidRPr="00E76AA6">
        <w:t>se zavazuje respektovat a dodržet veškeré povinnosti z této skutečnosti vyplývající.</w:t>
      </w:r>
    </w:p>
    <w:p w14:paraId="30BA4596" w14:textId="5BD5084F" w:rsidR="00E63933" w:rsidRDefault="009C5496" w:rsidP="00B334FF">
      <w:pPr>
        <w:pStyle w:val="PFI-odstavec"/>
      </w:pPr>
      <w:r>
        <w:t>Vybraný dodavatel</w:t>
      </w:r>
      <w:r w:rsidR="00E25AB4" w:rsidRPr="00E76AA6">
        <w:t xml:space="preserve"> je povinen předložit zadavateli před podpisem smlouvy </w:t>
      </w:r>
      <w:r>
        <w:t xml:space="preserve">platnou </w:t>
      </w:r>
      <w:r w:rsidR="00E25AB4" w:rsidRPr="00E76AA6">
        <w:t xml:space="preserve">pojistnou smlouvu </w:t>
      </w:r>
      <w:r w:rsidR="000E32FC" w:rsidRPr="00E76AA6">
        <w:t>(pojištění odpovědnosti na škodu způsobenou</w:t>
      </w:r>
      <w:r w:rsidR="000242BB">
        <w:t xml:space="preserve"> třetí osobě s limitem alespoň </w:t>
      </w:r>
      <w:r w:rsidR="000E32FC" w:rsidRPr="00E76AA6">
        <w:t>5 mil. Kč)</w:t>
      </w:r>
      <w:r w:rsidR="00E25AB4" w:rsidRPr="00E76AA6">
        <w:t xml:space="preserve">. </w:t>
      </w:r>
    </w:p>
    <w:p w14:paraId="750C5585" w14:textId="77777777" w:rsidR="00E63933" w:rsidRDefault="00E63933" w:rsidP="00E63933">
      <w:r>
        <w:t xml:space="preserve">Ze smlouvy musí vyplývat platnost pojištění po celou dobu </w:t>
      </w:r>
      <w:r w:rsidR="009C5496">
        <w:t xml:space="preserve">plnění předmětu veřejné zakázky podle bodu </w:t>
      </w:r>
      <w:r w:rsidR="009C5496">
        <w:fldChar w:fldCharType="begin"/>
      </w:r>
      <w:r w:rsidR="009C5496">
        <w:instrText xml:space="preserve"> REF _Ref476408959 \n \h </w:instrText>
      </w:r>
      <w:r w:rsidR="009C5496">
        <w:fldChar w:fldCharType="separate"/>
      </w:r>
      <w:r w:rsidR="00A96952">
        <w:t>2.4</w:t>
      </w:r>
      <w:r w:rsidR="009C5496">
        <w:fldChar w:fldCharType="end"/>
      </w:r>
      <w:r w:rsidR="009C5496">
        <w:t>; v případě, že z předložené smlouvy tato platnost vyplývat nebude, předloží vybraný dodavatel čestné prohlášení o tom, že platnost pojistné smlouvy prodlouží, přičemž i prodloužená pojistná smlouva bude splňovat výše stanovené požadavky.</w:t>
      </w:r>
    </w:p>
    <w:p w14:paraId="42C196C2" w14:textId="37310770" w:rsidR="00E25AB4" w:rsidRPr="00E76AA6" w:rsidRDefault="00E25AB4" w:rsidP="000242BB">
      <w:r w:rsidRPr="00E76AA6">
        <w:t xml:space="preserve">Její nepředložení bude zadavatelem považováno za neposkytnutí řádné součinnosti k uzavření smlouvy. Pokud </w:t>
      </w:r>
      <w:r w:rsidR="00FF287E">
        <w:t xml:space="preserve">dodavatel </w:t>
      </w:r>
      <w:r w:rsidRPr="00E76AA6">
        <w:t>předloží svou pojistnou smlouvu již ve své nabídce, bude na ni při podpisu smlouvy pohlíženo již jako na předloženou.</w:t>
      </w:r>
    </w:p>
    <w:p w14:paraId="17C1636D" w14:textId="77777777" w:rsidR="00E25AB4" w:rsidRPr="00E76AA6" w:rsidRDefault="00E25AB4" w:rsidP="00DB6513">
      <w:pPr>
        <w:pStyle w:val="Nadpis2"/>
      </w:pPr>
      <w:r w:rsidRPr="00DB6513">
        <w:t>Smluvní</w:t>
      </w:r>
      <w:r w:rsidRPr="00E76AA6">
        <w:t xml:space="preserve"> podmínky</w:t>
      </w:r>
    </w:p>
    <w:p w14:paraId="711002FE" w14:textId="77777777" w:rsidR="001F73A9" w:rsidRPr="00DB6513" w:rsidRDefault="001F73A9" w:rsidP="001F73A9">
      <w:pPr>
        <w:pStyle w:val="PFI-odstavec"/>
      </w:pPr>
      <w:bookmarkStart w:id="17" w:name="_Ref303117305"/>
      <w:r w:rsidRPr="00DB6513">
        <w:t xml:space="preserve">Zadavatel stanoví obchodní a platební podmínky formou závazného návrhu smlouvy (viz Příloha 4 této zadávací dokumentace). </w:t>
      </w:r>
    </w:p>
    <w:p w14:paraId="0E4FC589" w14:textId="77777777" w:rsidR="001F73A9" w:rsidRPr="00F045D5" w:rsidRDefault="001F73A9" w:rsidP="001F73A9">
      <w:pPr>
        <w:pStyle w:val="PFI-odstavec"/>
      </w:pPr>
      <w:r w:rsidRPr="00DB6513">
        <w:t>Dodavatel si nesmí upravit podmínky a požadavky zadavatele</w:t>
      </w:r>
      <w:r>
        <w:t xml:space="preserve"> s výjimkou vyznačených částí</w:t>
      </w:r>
      <w:r w:rsidR="00397054">
        <w:t xml:space="preserve"> určených k </w:t>
      </w:r>
      <w:r w:rsidR="00397054" w:rsidRPr="00F045D5">
        <w:t>doplnění údajů dodavatelem</w:t>
      </w:r>
      <w:r w:rsidRPr="00F045D5">
        <w:t>.</w:t>
      </w:r>
    </w:p>
    <w:p w14:paraId="2559C49B" w14:textId="77777777" w:rsidR="00D33EE8" w:rsidRPr="00F045D5" w:rsidRDefault="00D33EE8" w:rsidP="00DF7FEE">
      <w:pPr>
        <w:pStyle w:val="Nadpis2"/>
      </w:pPr>
      <w:bookmarkStart w:id="18" w:name="_Ref476408959"/>
      <w:bookmarkEnd w:id="17"/>
      <w:r w:rsidRPr="00F045D5">
        <w:t>Doba a místo plnění veřejné zakázky</w:t>
      </w:r>
      <w:bookmarkEnd w:id="15"/>
      <w:bookmarkEnd w:id="18"/>
    </w:p>
    <w:p w14:paraId="7FD82BBF" w14:textId="3D263A40" w:rsidR="009A4D34" w:rsidRPr="00F045D5" w:rsidRDefault="009A4D34" w:rsidP="00DF7FEE">
      <w:pPr>
        <w:pStyle w:val="PFI-odstavec"/>
      </w:pPr>
      <w:r w:rsidRPr="006F74A9">
        <w:t xml:space="preserve">Předpokládaná doba zahájení je </w:t>
      </w:r>
      <w:r w:rsidR="000B0D77" w:rsidRPr="006F74A9">
        <w:t>září</w:t>
      </w:r>
      <w:r w:rsidR="000242BB" w:rsidRPr="006F74A9">
        <w:t xml:space="preserve"> 2018</w:t>
      </w:r>
      <w:r w:rsidR="0029562D" w:rsidRPr="006F74A9">
        <w:t xml:space="preserve"> a je </w:t>
      </w:r>
      <w:r w:rsidRPr="006F74A9">
        <w:t>závislá na ukončení zadávacího řízení,</w:t>
      </w:r>
      <w:r w:rsidRPr="00F045D5">
        <w:t xml:space="preserve"> zahájení plnění nastane okamžitě po </w:t>
      </w:r>
      <w:r w:rsidR="006D25E5" w:rsidRPr="00F045D5">
        <w:t>nabytí účinnosti</w:t>
      </w:r>
      <w:r w:rsidRPr="00F045D5">
        <w:t xml:space="preserve"> smlouvy vzešlé z tohoto zadávacího řízení</w:t>
      </w:r>
      <w:r w:rsidR="00E912A0" w:rsidRPr="00F045D5">
        <w:t>.</w:t>
      </w:r>
    </w:p>
    <w:p w14:paraId="7EC55C7C" w14:textId="77777777" w:rsidR="0004717B" w:rsidRPr="00F045D5" w:rsidRDefault="0004717B" w:rsidP="0004717B">
      <w:pPr>
        <w:pStyle w:val="PFI-odstavec"/>
      </w:pPr>
      <w:r w:rsidRPr="00F045D5">
        <w:t xml:space="preserve">Termín ukončení plnění předmětu veřejné zakázky se požaduje </w:t>
      </w:r>
    </w:p>
    <w:p w14:paraId="7479FD5A" w14:textId="47296E2B" w:rsidR="0004717B" w:rsidRPr="00F045D5" w:rsidRDefault="0004717B" w:rsidP="0004717B">
      <w:pPr>
        <w:pStyle w:val="PFI-pismeno"/>
      </w:pPr>
      <w:r w:rsidRPr="00F045D5">
        <w:t xml:space="preserve">do </w:t>
      </w:r>
      <w:r w:rsidR="000B0D77" w:rsidRPr="00F045D5">
        <w:t>12</w:t>
      </w:r>
      <w:r w:rsidRPr="00F045D5">
        <w:t>0 dnů od nabytí účinnosti smlouvy vzešlé z tohoto zadávacího řízení pro vlastní dodání řešení a</w:t>
      </w:r>
    </w:p>
    <w:p w14:paraId="06F94CBA" w14:textId="77777777" w:rsidR="0004717B" w:rsidRPr="00F045D5" w:rsidRDefault="0004717B" w:rsidP="0004717B">
      <w:pPr>
        <w:pStyle w:val="PFI-pismeno"/>
      </w:pPr>
      <w:r w:rsidRPr="00F045D5">
        <w:t>na dobu neurčitou se zahájením prací po zahájení ostrého provozu dodaného řešení pro poskytování podpory provozu.</w:t>
      </w:r>
    </w:p>
    <w:p w14:paraId="250125C2" w14:textId="77777777" w:rsidR="0004717B" w:rsidRPr="00E76AA6" w:rsidRDefault="0004717B" w:rsidP="0004717B">
      <w:r w:rsidRPr="00F045D5">
        <w:t>Termín ukončení se může změnit</w:t>
      </w:r>
      <w:r w:rsidRPr="00DF7FEE">
        <w:t xml:space="preserve"> z objektivních příčin, způsobených třetími stranami nebo jinými okolnostmi, nezávislými na vůli smluvních stran.</w:t>
      </w:r>
    </w:p>
    <w:p w14:paraId="2B1E775E" w14:textId="50C98E32" w:rsidR="00D33EE8" w:rsidRPr="00BE0DB1" w:rsidRDefault="00D35B9A" w:rsidP="00DF7FEE">
      <w:pPr>
        <w:pStyle w:val="PFI-odstavec"/>
      </w:pPr>
      <w:r w:rsidRPr="00BE0DB1">
        <w:t>Místem plnění veřejné zakázky je sídlo a</w:t>
      </w:r>
      <w:r w:rsidR="00413B64" w:rsidRPr="00BE0DB1">
        <w:t xml:space="preserve"> dotčené</w:t>
      </w:r>
      <w:r w:rsidRPr="00BE0DB1">
        <w:t xml:space="preserve"> provozy zadavatele.</w:t>
      </w:r>
      <w:r w:rsidR="00313C09" w:rsidRPr="00BE0DB1">
        <w:t xml:space="preserve"> Podrobnosti viz též </w:t>
      </w:r>
      <w:r w:rsidR="00C669A9" w:rsidRPr="00A617BC">
        <w:t xml:space="preserve">Technická specifikace, která je Přílohou 3.a </w:t>
      </w:r>
      <w:r w:rsidR="00CD1DDD">
        <w:t xml:space="preserve"> </w:t>
      </w:r>
      <w:r w:rsidR="00C669A9" w:rsidRPr="00A617BC">
        <w:t>této Zadávací dokumentace.</w:t>
      </w:r>
    </w:p>
    <w:p w14:paraId="4AD610C3" w14:textId="77777777" w:rsidR="003804F7" w:rsidRPr="00E76AA6" w:rsidRDefault="008D3B8C" w:rsidP="00DB6513">
      <w:pPr>
        <w:pStyle w:val="Nadpis2"/>
      </w:pPr>
      <w:r w:rsidRPr="00E76AA6">
        <w:lastRenderedPageBreak/>
        <w:t xml:space="preserve">Vybrané </w:t>
      </w:r>
      <w:r w:rsidRPr="00DB6513">
        <w:t>instrumenty</w:t>
      </w:r>
      <w:r w:rsidR="00E76AA6">
        <w:t xml:space="preserve"> ZZVZ</w:t>
      </w:r>
      <w:r w:rsidRPr="00E76AA6">
        <w:t xml:space="preserve"> ve vztahu k předmětu veřejné zakázky</w:t>
      </w:r>
    </w:p>
    <w:p w14:paraId="66231392" w14:textId="77777777" w:rsidR="00E25AB4" w:rsidRPr="00E76AA6" w:rsidRDefault="00E25AB4" w:rsidP="00865AB1">
      <w:pPr>
        <w:pStyle w:val="Nadpis3"/>
      </w:pPr>
      <w:r w:rsidRPr="00865AB1">
        <w:t>Varianty</w:t>
      </w:r>
      <w:r w:rsidRPr="00E76AA6">
        <w:t xml:space="preserve"> nabídky</w:t>
      </w:r>
    </w:p>
    <w:p w14:paraId="6AB2BF3F" w14:textId="77777777" w:rsidR="00E25AB4" w:rsidRPr="00E76AA6" w:rsidRDefault="00E25AB4" w:rsidP="00865AB1">
      <w:r w:rsidRPr="00A16372">
        <w:t>Zadavatel nepřipouští varianty nabídky.</w:t>
      </w:r>
    </w:p>
    <w:p w14:paraId="665FD3B6" w14:textId="77777777" w:rsidR="00E25AB4" w:rsidRPr="00E76AA6" w:rsidRDefault="00E25AB4" w:rsidP="001E3C11">
      <w:pPr>
        <w:pStyle w:val="Nadpis3"/>
      </w:pPr>
      <w:r w:rsidRPr="00E76AA6">
        <w:t>Jistota</w:t>
      </w:r>
    </w:p>
    <w:p w14:paraId="0549E8AE" w14:textId="779F000B" w:rsidR="001E3C11" w:rsidRPr="00FC2C87" w:rsidRDefault="00E25AB4" w:rsidP="001E3C11">
      <w:pPr>
        <w:pStyle w:val="PFI-odstavec"/>
      </w:pPr>
      <w:r w:rsidRPr="00E76AA6">
        <w:t xml:space="preserve">Zadavatel požaduje </w:t>
      </w:r>
      <w:r w:rsidR="00BF5010">
        <w:t xml:space="preserve">v souladu s § 41 ZZVZ </w:t>
      </w:r>
      <w:r w:rsidRPr="00E76AA6">
        <w:t xml:space="preserve">poskytnutí jistoty ve výši </w:t>
      </w:r>
      <w:r w:rsidR="00496942">
        <w:t>11</w:t>
      </w:r>
      <w:r w:rsidR="00BF0AC2">
        <w:t xml:space="preserve">0 </w:t>
      </w:r>
      <w:r w:rsidRPr="007544CD">
        <w:t>000,- Kč</w:t>
      </w:r>
      <w:r w:rsidRPr="00E76AA6">
        <w:t xml:space="preserve"> (slovy</w:t>
      </w:r>
      <w:r w:rsidR="002B5105">
        <w:t xml:space="preserve">: </w:t>
      </w:r>
      <w:r w:rsidR="002B5105" w:rsidRPr="00FC2C87">
        <w:t>Jednostodesettisíc korun českých</w:t>
      </w:r>
      <w:r w:rsidRPr="00FC2C87">
        <w:t xml:space="preserve">). </w:t>
      </w:r>
    </w:p>
    <w:p w14:paraId="7F6FFC7A" w14:textId="77777777" w:rsidR="001E3C11" w:rsidRDefault="00E25AB4" w:rsidP="001E3C11">
      <w:pPr>
        <w:pStyle w:val="PFI-odstavec"/>
      </w:pPr>
      <w:r w:rsidRPr="00E76AA6">
        <w:t xml:space="preserve">Jistotu poskytne </w:t>
      </w:r>
      <w:r w:rsidR="00FF287E">
        <w:t xml:space="preserve">dodavatel </w:t>
      </w:r>
      <w:r w:rsidRPr="00E76AA6">
        <w:t xml:space="preserve">formou </w:t>
      </w:r>
    </w:p>
    <w:p w14:paraId="0635C70A" w14:textId="66E67DFA" w:rsidR="001E3C11" w:rsidRDefault="00E25AB4" w:rsidP="001E3C11">
      <w:pPr>
        <w:pStyle w:val="PFI-pismeno"/>
      </w:pPr>
      <w:r w:rsidRPr="00CD2E7F">
        <w:t xml:space="preserve">složení či převodu peněžní částky na </w:t>
      </w:r>
      <w:r w:rsidR="001E3C11" w:rsidRPr="00CD2E7F">
        <w:t xml:space="preserve">účet zadavatele </w:t>
      </w:r>
      <w:r w:rsidRPr="00CD2E7F">
        <w:t>č.ú.</w:t>
      </w:r>
      <w:r w:rsidR="006716E3" w:rsidRPr="00CD2E7F">
        <w:t xml:space="preserve"> 6015-720331/0100,</w:t>
      </w:r>
      <w:r w:rsidRPr="00E76AA6">
        <w:t xml:space="preserve"> přičemž jako variabilní symbol platby uvede IČ </w:t>
      </w:r>
      <w:r w:rsidR="00B61481">
        <w:t>dodavatel</w:t>
      </w:r>
      <w:r w:rsidRPr="00E76AA6">
        <w:t>e</w:t>
      </w:r>
      <w:r w:rsidR="001E3C11">
        <w:t xml:space="preserve"> </w:t>
      </w:r>
      <w:r w:rsidR="00DB193E">
        <w:t>a j</w:t>
      </w:r>
      <w:r w:rsidR="00DB193E" w:rsidRPr="00C31664">
        <w:t>ako zprávu pro příjemce dodava</w:t>
      </w:r>
      <w:r w:rsidR="00DB193E">
        <w:t>tel uvede název veřejné zakázky</w:t>
      </w:r>
      <w:r w:rsidR="00DB193E" w:rsidRPr="00C31664">
        <w:t xml:space="preserve"> </w:t>
      </w:r>
      <w:r w:rsidR="001E3C11" w:rsidRPr="001E3C11">
        <w:t>(dále jen "peněžní jistota")</w:t>
      </w:r>
      <w:r w:rsidRPr="00E76AA6">
        <w:t xml:space="preserve">, nebo </w:t>
      </w:r>
    </w:p>
    <w:p w14:paraId="582181B4" w14:textId="77777777" w:rsidR="001E3C11" w:rsidRDefault="001E3C11" w:rsidP="001E3C11">
      <w:pPr>
        <w:pStyle w:val="PFI-pismeno"/>
      </w:pPr>
      <w:r>
        <w:t xml:space="preserve">bankovní záruky ve prospěch zadavatele, nebo </w:t>
      </w:r>
    </w:p>
    <w:p w14:paraId="1879C3A4" w14:textId="77777777" w:rsidR="001E3C11" w:rsidRDefault="001E3C11" w:rsidP="001E3C11">
      <w:pPr>
        <w:pStyle w:val="PFI-pismeno"/>
      </w:pPr>
      <w:r>
        <w:t xml:space="preserve">pojištění záruky ve prospěch zadavatele. </w:t>
      </w:r>
    </w:p>
    <w:p w14:paraId="1253179D" w14:textId="77777777" w:rsidR="001E3C11" w:rsidRDefault="001E3C11" w:rsidP="001E3C11">
      <w:pPr>
        <w:pStyle w:val="PFI-odstavec"/>
      </w:pPr>
      <w:r>
        <w:t>Účastník zadávacího řízení prokáže v nabídce poskytnutí jistoty</w:t>
      </w:r>
    </w:p>
    <w:p w14:paraId="18BD9BE2" w14:textId="77777777" w:rsidR="001E3C11" w:rsidRDefault="001E3C11" w:rsidP="001E3C11">
      <w:pPr>
        <w:pStyle w:val="PFI-pismeno"/>
      </w:pPr>
      <w:r>
        <w:t>sdělením údajů o provedené platbě zadavateli, jde-li o peněžní jistotu,</w:t>
      </w:r>
    </w:p>
    <w:p w14:paraId="3D11E945" w14:textId="77777777" w:rsidR="001E3C11" w:rsidRDefault="001E3C11" w:rsidP="001E3C11">
      <w:pPr>
        <w:pStyle w:val="PFI-pismeno"/>
      </w:pPr>
      <w:r>
        <w:t xml:space="preserve">předložením originálu záruční listiny obsahující závazek vyplatit zadavateli za podmínek stanovených v </w:t>
      </w:r>
      <w:r w:rsidR="00BF5010">
        <w:t xml:space="preserve">§ 41 </w:t>
      </w:r>
      <w:r>
        <w:t>odst</w:t>
      </w:r>
      <w:r w:rsidR="00BF5010">
        <w:t>.</w:t>
      </w:r>
      <w:r>
        <w:t xml:space="preserve"> 8 </w:t>
      </w:r>
      <w:r w:rsidR="00BF5010">
        <w:t xml:space="preserve">ZZVZ </w:t>
      </w:r>
      <w:r>
        <w:t>jistotu, jde-li o bankovní záruku, nebo</w:t>
      </w:r>
    </w:p>
    <w:p w14:paraId="732ED06F" w14:textId="77777777" w:rsidR="001E3C11" w:rsidRDefault="001E3C11" w:rsidP="001E3C11">
      <w:pPr>
        <w:pStyle w:val="PFI-pismeno"/>
      </w:pPr>
      <w:r>
        <w:t>předložením písemného prohlášení pojistitele obsahující závazek vyplatit zadavateli za podmínek stanovených v odstavci 8 jistotu, jde-li o pojištění záruky.</w:t>
      </w:r>
    </w:p>
    <w:p w14:paraId="65FF2064" w14:textId="77777777" w:rsidR="001E3C11" w:rsidRDefault="00E25AB4" w:rsidP="001E3C11">
      <w:pPr>
        <w:pStyle w:val="PFI-odstavec"/>
      </w:pPr>
      <w:r w:rsidRPr="00E76AA6">
        <w:t>V případě poskytnutí jistoty formou složení či převodu na bankovní účet, musí být tato částka připsána na účet zadavatele nejpozději k</w:t>
      </w:r>
      <w:r w:rsidR="00BF5010">
        <w:t xml:space="preserve"> okamžiku </w:t>
      </w:r>
      <w:r w:rsidRPr="00E76AA6">
        <w:t>sko</w:t>
      </w:r>
      <w:r w:rsidR="00BF5010">
        <w:t>nčení lhůty pro podání nabídek.</w:t>
      </w:r>
    </w:p>
    <w:p w14:paraId="078A9617" w14:textId="77777777" w:rsidR="00BF5010" w:rsidRDefault="00BF5010" w:rsidP="001E3C11">
      <w:pPr>
        <w:pStyle w:val="PFI-odstavec"/>
      </w:pPr>
      <w:r>
        <w:t xml:space="preserve">Pokud bude dodavatel v případě poskytnutí jistoty formou bankovní záruky požadovat po zadavateli navrácení originálu bankovní záruky, vloží originál bankovní záruky do nabídky volně a </w:t>
      </w:r>
      <w:r w:rsidR="00C54C62">
        <w:t xml:space="preserve">současně </w:t>
      </w:r>
      <w:r>
        <w:t xml:space="preserve">vloží do nabídky </w:t>
      </w:r>
      <w:r w:rsidR="00C54C62">
        <w:t>kopii bankovní záruky běžným způsobem.</w:t>
      </w:r>
    </w:p>
    <w:p w14:paraId="6AACAA33" w14:textId="77777777" w:rsidR="00E25AB4" w:rsidRPr="00E76AA6" w:rsidRDefault="00BF5010" w:rsidP="001E3C11">
      <w:pPr>
        <w:pStyle w:val="PFI-odstavec"/>
      </w:pPr>
      <w:r>
        <w:t xml:space="preserve">Zadavatel stanovuje zadávací lhůtu ve smyslu § 40 ZZVZ na </w:t>
      </w:r>
      <w:r w:rsidR="009C5496">
        <w:t>3</w:t>
      </w:r>
      <w:r>
        <w:t xml:space="preserve"> měsíce.</w:t>
      </w:r>
    </w:p>
    <w:p w14:paraId="7D0A490E" w14:textId="77777777" w:rsidR="00E25AB4" w:rsidRPr="00E76AA6" w:rsidRDefault="00E25AB4" w:rsidP="00B334FF">
      <w:pPr>
        <w:pStyle w:val="Nadpis1"/>
      </w:pPr>
      <w:bookmarkStart w:id="19" w:name="_Toc159843941"/>
      <w:bookmarkStart w:id="20" w:name="_Ref172358577"/>
      <w:bookmarkStart w:id="21" w:name="_Ref349830842"/>
      <w:bookmarkStart w:id="22" w:name="_Ref366400549"/>
      <w:bookmarkStart w:id="23" w:name="_Toc477447829"/>
      <w:bookmarkStart w:id="24" w:name="_Ref489445677"/>
      <w:bookmarkStart w:id="25" w:name="_Toc159843938"/>
      <w:r w:rsidRPr="00B334FF">
        <w:t>Způsob</w:t>
      </w:r>
      <w:r w:rsidRPr="00E76AA6">
        <w:t xml:space="preserve"> zpracování nabídkové ceny</w:t>
      </w:r>
      <w:bookmarkEnd w:id="19"/>
      <w:bookmarkEnd w:id="20"/>
      <w:bookmarkEnd w:id="21"/>
      <w:bookmarkEnd w:id="22"/>
      <w:bookmarkEnd w:id="23"/>
      <w:bookmarkEnd w:id="24"/>
    </w:p>
    <w:p w14:paraId="0EA198D2" w14:textId="77777777" w:rsidR="00E25AB4" w:rsidRPr="00B334FF" w:rsidRDefault="00B61481" w:rsidP="00B334FF">
      <w:pPr>
        <w:pStyle w:val="PFI-odstavec"/>
      </w:pPr>
      <w:r>
        <w:t xml:space="preserve">Dodavatel </w:t>
      </w:r>
      <w:r w:rsidR="00E25AB4" w:rsidRPr="00B334FF">
        <w:t>navrhne nabídkovou cenu, která bude zpracována jako smluvní, pevná a nejvýše přípustná a musí zahrnovat veškeré náklady spojené s plněním předmětu veřejné zakázky.</w:t>
      </w:r>
    </w:p>
    <w:p w14:paraId="68707825" w14:textId="77777777" w:rsidR="00E25AB4" w:rsidRPr="00B334FF" w:rsidRDefault="00E25AB4" w:rsidP="00B334FF">
      <w:pPr>
        <w:pStyle w:val="PFI-odstavec"/>
      </w:pPr>
      <w:r w:rsidRPr="00B334FF">
        <w:t>Nabídková cena bude uvedena v členění cena bez DPH, cena s DPH a sazba a výše DPH. Veškeré ceny budou uvedeny v absolutních hodnotách v korunách českých.</w:t>
      </w:r>
    </w:p>
    <w:p w14:paraId="3DBE04B3" w14:textId="3A56A00F" w:rsidR="00E25AB4" w:rsidRDefault="00E25AB4" w:rsidP="00B334FF">
      <w:pPr>
        <w:pStyle w:val="PFI-odstavec"/>
      </w:pPr>
      <w:bookmarkStart w:id="26" w:name="_Ref172358598"/>
      <w:r w:rsidRPr="00B334FF">
        <w:t>Hodnota nabídkové ceny musí být kladná.</w:t>
      </w:r>
    </w:p>
    <w:p w14:paraId="4A1F89A1" w14:textId="77777777" w:rsidR="00223680" w:rsidRDefault="00223680" w:rsidP="00223680">
      <w:pPr>
        <w:pStyle w:val="PFI-odstavec"/>
      </w:pPr>
      <w:r>
        <w:t>Nabídková cena bude zahrnovat</w:t>
      </w:r>
    </w:p>
    <w:p w14:paraId="36EFB06B" w14:textId="77777777" w:rsidR="00223680" w:rsidRDefault="00223680" w:rsidP="00223680">
      <w:pPr>
        <w:pStyle w:val="PFI-pismeno"/>
      </w:pPr>
      <w:r>
        <w:t>cenu za pořízení a implementaci technologií, tj. za implementační část plnění, a</w:t>
      </w:r>
    </w:p>
    <w:p w14:paraId="244FC4ED" w14:textId="5E9B23FF" w:rsidR="00223680" w:rsidRDefault="00223680" w:rsidP="00223680">
      <w:pPr>
        <w:pStyle w:val="PFI-pismeno"/>
      </w:pPr>
      <w:r>
        <w:t xml:space="preserve">cenu za </w:t>
      </w:r>
      <w:r w:rsidR="000B19DF">
        <w:t>48</w:t>
      </w:r>
      <w:r>
        <w:t xml:space="preserve"> měsíců servisní podpory;</w:t>
      </w:r>
    </w:p>
    <w:p w14:paraId="19F18595" w14:textId="77777777" w:rsidR="00BE0DB1" w:rsidRPr="00223680" w:rsidRDefault="00BE0DB1" w:rsidP="00BE0DB1">
      <w:pPr>
        <w:pStyle w:val="PFI-odstavec"/>
      </w:pPr>
      <w:r w:rsidRPr="00223680">
        <w:t>Nabídková cena musí být zpracována tak, že nebudou překročeny následující hodnoty:</w:t>
      </w:r>
    </w:p>
    <w:p w14:paraId="619E7214" w14:textId="3292A998" w:rsidR="00BE0DB1" w:rsidRPr="00E912A0" w:rsidRDefault="00BE0DB1" w:rsidP="00E23B19">
      <w:pPr>
        <w:pStyle w:val="PFI-pismeno"/>
      </w:pPr>
      <w:r w:rsidRPr="00223680">
        <w:t xml:space="preserve">cena za implementační část </w:t>
      </w:r>
      <w:r w:rsidR="00125A45">
        <w:t>(viz též čl. IV</w:t>
      </w:r>
      <w:r w:rsidR="00125A45" w:rsidRPr="00223680">
        <w:t>. Přílohy 4</w:t>
      </w:r>
      <w:r w:rsidR="00125A45">
        <w:t>.a</w:t>
      </w:r>
      <w:r w:rsidR="00125A45" w:rsidRPr="00223680">
        <w:t xml:space="preserve">) </w:t>
      </w:r>
      <w:r w:rsidR="00E912A0">
        <w:t xml:space="preserve">nesmí překročit částku </w:t>
      </w:r>
      <w:r w:rsidR="00E23B19" w:rsidRPr="00E23B19">
        <w:t>4 918 953</w:t>
      </w:r>
      <w:r w:rsidR="00E912A0">
        <w:t xml:space="preserve"> </w:t>
      </w:r>
      <w:r w:rsidRPr="00223680">
        <w:t>Kč bez DPH;</w:t>
      </w:r>
    </w:p>
    <w:p w14:paraId="168B5803" w14:textId="79E157E8" w:rsidR="00BE0DB1" w:rsidRDefault="00BE0DB1" w:rsidP="00BE0DB1">
      <w:pPr>
        <w:pStyle w:val="PFI-pismeno"/>
      </w:pPr>
      <w:r w:rsidRPr="00223680">
        <w:t xml:space="preserve">průměrná roční cena za provozní část </w:t>
      </w:r>
      <w:r w:rsidR="00125A45">
        <w:t>(viz též čl. IV</w:t>
      </w:r>
      <w:r w:rsidR="00125A45" w:rsidRPr="00223680">
        <w:t>. Přílohy 4</w:t>
      </w:r>
      <w:r w:rsidR="00125A45">
        <w:t>.b</w:t>
      </w:r>
      <w:r w:rsidR="00125A45" w:rsidRPr="00223680">
        <w:t xml:space="preserve">) </w:t>
      </w:r>
      <w:r w:rsidR="000B0D77">
        <w:t>nesmí překročit 15 </w:t>
      </w:r>
      <w:r w:rsidRPr="00223680">
        <w:t>% ceny za implementační část;</w:t>
      </w:r>
    </w:p>
    <w:p w14:paraId="38D0A32B" w14:textId="43487BBA" w:rsidR="004E226B" w:rsidRPr="00223680" w:rsidRDefault="004E226B" w:rsidP="004E226B">
      <w:pPr>
        <w:pStyle w:val="PFI-pismeno"/>
      </w:pPr>
      <w:r w:rsidRPr="004E226B">
        <w:lastRenderedPageBreak/>
        <w:t>cena za komodi</w:t>
      </w:r>
      <w:r>
        <w:t>tu K7 nesmí být vyšší než 10</w:t>
      </w:r>
      <w:r w:rsidR="00214AFC">
        <w:t xml:space="preserve"> </w:t>
      </w:r>
      <w:r>
        <w:t xml:space="preserve">% ceny </w:t>
      </w:r>
      <w:r w:rsidRPr="00223680">
        <w:t>za implementační část</w:t>
      </w:r>
      <w:r>
        <w:t xml:space="preserve"> (viz též písm. (a)).</w:t>
      </w:r>
    </w:p>
    <w:bookmarkEnd w:id="26"/>
    <w:p w14:paraId="7ABC3065" w14:textId="77777777" w:rsidR="00E25AB4" w:rsidRPr="00B334FF" w:rsidRDefault="00E25AB4" w:rsidP="00B61481">
      <w:pPr>
        <w:pStyle w:val="PFI-odstavec"/>
      </w:pPr>
      <w:r w:rsidRPr="00B334FF">
        <w:t>Nabídková cena bude zpracována oceněním položek položkového rozpočtu uvedeného v </w:t>
      </w:r>
      <w:r w:rsidRPr="00293FB6">
        <w:t>Příloze 3.b</w:t>
      </w:r>
      <w:r w:rsidRPr="00B334FF">
        <w:t xml:space="preserve"> této Zadávací dokumentace. </w:t>
      </w:r>
      <w:r w:rsidR="0086314A">
        <w:t>Zadavatel požaduje předložení položkového rozpočtu ve struktuře dané položkovým rozpočtem.</w:t>
      </w:r>
    </w:p>
    <w:p w14:paraId="20999392" w14:textId="77777777" w:rsidR="00E25AB4" w:rsidRPr="00B334FF" w:rsidRDefault="0024081D" w:rsidP="00B334FF">
      <w:pPr>
        <w:pStyle w:val="PFI-odstavec"/>
      </w:pPr>
      <w:r w:rsidRPr="00B334FF">
        <w:t>V případě nejasností v kalkulaci si zadavatel vyhrazuje právo vyžádat si jejich vysvětlení</w:t>
      </w:r>
      <w:r w:rsidR="00E25AB4" w:rsidRPr="00B334FF">
        <w:t>.</w:t>
      </w:r>
    </w:p>
    <w:p w14:paraId="4230ACB1" w14:textId="77777777" w:rsidR="00852542" w:rsidRPr="00E76AA6" w:rsidRDefault="005E1FB0" w:rsidP="003135C1">
      <w:pPr>
        <w:pStyle w:val="Nadpis1"/>
      </w:pPr>
      <w:bookmarkStart w:id="27" w:name="_Toc477447830"/>
      <w:r w:rsidRPr="00E76AA6">
        <w:t>P</w:t>
      </w:r>
      <w:r w:rsidR="009E43F2" w:rsidRPr="00E76AA6">
        <w:t xml:space="preserve">ožadavky </w:t>
      </w:r>
      <w:r w:rsidRPr="00E76AA6">
        <w:t xml:space="preserve">na sestavení </w:t>
      </w:r>
      <w:r w:rsidR="00852542" w:rsidRPr="003135C1">
        <w:t>nabídky</w:t>
      </w:r>
      <w:bookmarkEnd w:id="27"/>
    </w:p>
    <w:p w14:paraId="605DD3E5" w14:textId="77777777" w:rsidR="003135C1" w:rsidRDefault="003135C1" w:rsidP="003135C1">
      <w:pPr>
        <w:pStyle w:val="Nadpis2"/>
      </w:pPr>
      <w:bookmarkStart w:id="28" w:name="_Ref464656802"/>
      <w:bookmarkStart w:id="29" w:name="_Ref490637864"/>
      <w:bookmarkStart w:id="30" w:name="_Ref334349796"/>
      <w:r>
        <w:t>Požadavky na doklady</w:t>
      </w:r>
      <w:bookmarkEnd w:id="28"/>
      <w:bookmarkEnd w:id="29"/>
    </w:p>
    <w:p w14:paraId="0A96F0FB" w14:textId="77777777" w:rsidR="003135C1" w:rsidRDefault="003135C1" w:rsidP="003135C1">
      <w:pPr>
        <w:pStyle w:val="PFI-odstavec"/>
      </w:pPr>
      <w:r>
        <w:t xml:space="preserve">Pokud není zadavatelem nebo ZZVZ stanoveno jinak, </w:t>
      </w:r>
      <w:r w:rsidRPr="003135C1">
        <w:t>p</w:t>
      </w:r>
      <w:r>
        <w:t>ředkládají se prosté kopie dokladů.</w:t>
      </w:r>
    </w:p>
    <w:p w14:paraId="5BA7792A" w14:textId="77777777" w:rsidR="003135C1" w:rsidRDefault="003135C1" w:rsidP="003135C1">
      <w:pPr>
        <w:pStyle w:val="PFI-odstavec"/>
      </w:pPr>
      <w:r>
        <w:t xml:space="preserve">Pokud </w:t>
      </w:r>
      <w:r w:rsidRPr="003135C1">
        <w:t>dodavatel není z důvodů, které mu nelze přičítat, schopen předložit požadovaný doklad, je oprávněn předložit jiný rovnocenný doklad.</w:t>
      </w:r>
    </w:p>
    <w:p w14:paraId="42E03200" w14:textId="77777777" w:rsidR="00E32585" w:rsidRDefault="00E32585" w:rsidP="00E32585">
      <w:pPr>
        <w:pStyle w:val="PFI-odstavec"/>
        <w:numPr>
          <w:ilvl w:val="0"/>
          <w:numId w:val="0"/>
        </w:numPr>
      </w:pPr>
      <w:r>
        <w:t>To platí také např. v případech požadavků na předložení</w:t>
      </w:r>
    </w:p>
    <w:p w14:paraId="2DEAF980" w14:textId="77777777" w:rsidR="00E32585" w:rsidRDefault="00E32585" w:rsidP="00E32585">
      <w:pPr>
        <w:pStyle w:val="PFI-pismeno"/>
      </w:pPr>
      <w:r>
        <w:t>dokladu o oprávnění k podnikání (pokud zadavatel požaduje konkrétní oprávnění k podnikání a dodavatel disponuje jiným oprávněním opravňujícím k plnění předmětu veřejné zakázky), nebo</w:t>
      </w:r>
    </w:p>
    <w:p w14:paraId="2A7272A0" w14:textId="77777777" w:rsidR="00E32585" w:rsidRDefault="00E32585" w:rsidP="00E32585">
      <w:pPr>
        <w:pStyle w:val="PFI-pismeno"/>
      </w:pPr>
      <w:r>
        <w:t xml:space="preserve">osvědčení o autorizaci podle </w:t>
      </w:r>
      <w:r w:rsidRPr="00E32585">
        <w:t>zákona č. 360/1992 Sb., v platném znění o výkonu povolání autorizovaných architektů a o výkonu povolání autorizovaných inženýrů a techniků činných ve výstavbě</w:t>
      </w:r>
      <w:r>
        <w:t xml:space="preserve"> (pokud např. dodavatel disponuje osvědčení o registraci dle téhož zákona a pro tentýž obor) apod.</w:t>
      </w:r>
    </w:p>
    <w:p w14:paraId="0E4E09DE" w14:textId="12325948" w:rsidR="00E32585" w:rsidRPr="00F5099D" w:rsidRDefault="00E32585" w:rsidP="007459B0">
      <w:pPr>
        <w:pStyle w:val="PFI-odstavec"/>
        <w:numPr>
          <w:ilvl w:val="0"/>
          <w:numId w:val="0"/>
        </w:numPr>
      </w:pPr>
      <w:r>
        <w:t>Zadavatel si vyhrazuje právo v případě nejasností rozhodnout o rovnocennosti předložených dokladů, a to i na základě konzultace s příslušnou autoritou.</w:t>
      </w:r>
    </w:p>
    <w:p w14:paraId="4DD60AD1" w14:textId="77777777" w:rsidR="005660C3" w:rsidRDefault="003135C1" w:rsidP="005660C3">
      <w:pPr>
        <w:pStyle w:val="PFI-odstavec"/>
      </w:pPr>
      <w:bookmarkStart w:id="31" w:name="_Ref464656810"/>
      <w:r>
        <w:t xml:space="preserve">Pokud je vyžadováno předložení dokladu podle právního řádu České republiky, může dodavatel předložit obdobný doklad podle právního řádu státu, ve kterém se tento doklad vydává; tento doklad se předkládá s překladem do českého jazyka. </w:t>
      </w:r>
      <w:r w:rsidR="00667D7C">
        <w:t>Pokud se podle příslušného právního řádu požadovaný doklad nevydává, může být nahrazen čestným prohlášením.</w:t>
      </w:r>
    </w:p>
    <w:p w14:paraId="2769D94E" w14:textId="77777777" w:rsidR="003135C1" w:rsidRDefault="003135C1" w:rsidP="000C1227">
      <w:pPr>
        <w:pStyle w:val="PFI-odstavec"/>
      </w:pPr>
      <w:bookmarkStart w:id="32" w:name="_Ref464656875"/>
      <w:r>
        <w:t xml:space="preserve">Doklad </w:t>
      </w:r>
      <w:r w:rsidR="000C1227" w:rsidRPr="000C1227">
        <w:t>ve slovenském jazyce a doklad o vzdělání (vysvědčení, osvědčení, certifikáty apod.) v latinském jazyce se předkládají bez překladu. Zadavatel připouští též předložení certifikátů a obdobných dokumentů nevydávaných podle právního řádu ČR v anglickém jazyce.</w:t>
      </w:r>
      <w:r>
        <w:t xml:space="preserve"> </w:t>
      </w:r>
      <w:bookmarkEnd w:id="31"/>
      <w:bookmarkEnd w:id="32"/>
    </w:p>
    <w:p w14:paraId="22C255F6" w14:textId="77777777" w:rsidR="003135C1" w:rsidRPr="003135C1" w:rsidRDefault="003135C1" w:rsidP="003135C1">
      <w:pPr>
        <w:pStyle w:val="PFI-odstavec"/>
      </w:pPr>
      <w:r>
        <w:t>Povinnost předložit doklad může dodavatel splnit odkazem na odpovídající informace vedené v informačním systému veřejné správy nebo v obdobném systému vedeném v jiném členském státu EU, který umožňuje neomezený dálkový přístup. Takový odkaz musí obsahovat internetovou adresu a údaje pro přihlášení a vyhledání požadované informace, jsou-li takové údaje nezbytné. Zadavateli by neměly vzniknout žádné náklady spojené s ověřováním takto uvedené informace.</w:t>
      </w:r>
    </w:p>
    <w:p w14:paraId="146882EE" w14:textId="77777777" w:rsidR="005454F1" w:rsidRPr="00E76AA6" w:rsidRDefault="005660C3" w:rsidP="005454F1">
      <w:pPr>
        <w:pStyle w:val="Nadpis2"/>
      </w:pPr>
      <w:r>
        <w:t>P</w:t>
      </w:r>
      <w:r w:rsidR="009E43F2" w:rsidRPr="00E76AA6">
        <w:t>ožadavky</w:t>
      </w:r>
      <w:bookmarkEnd w:id="30"/>
      <w:r w:rsidR="00553209" w:rsidRPr="00E76AA6">
        <w:t xml:space="preserve"> na nabídky</w:t>
      </w:r>
    </w:p>
    <w:p w14:paraId="08739FA8" w14:textId="77777777" w:rsidR="00413165" w:rsidRPr="00667D7C" w:rsidRDefault="00852542" w:rsidP="00667D7C">
      <w:pPr>
        <w:pStyle w:val="PFI-odstavec"/>
      </w:pPr>
      <w:r w:rsidRPr="00667D7C">
        <w:t>Nabídka musí být zpracována v českém jazyce na základě této zadávací dokumentace</w:t>
      </w:r>
      <w:r w:rsidR="00413165" w:rsidRPr="00667D7C">
        <w:t xml:space="preserve">. </w:t>
      </w:r>
      <w:r w:rsidR="005660C3" w:rsidRPr="00667D7C">
        <w:t xml:space="preserve">Tím není dotčeno ustanovení bodu </w:t>
      </w:r>
      <w:r w:rsidR="005660C3" w:rsidRPr="00667D7C">
        <w:fldChar w:fldCharType="begin"/>
      </w:r>
      <w:r w:rsidR="005660C3" w:rsidRPr="00667D7C">
        <w:instrText xml:space="preserve"> REF _Ref464656802 \r \h </w:instrText>
      </w:r>
      <w:r w:rsidR="00667D7C">
        <w:instrText xml:space="preserve"> \* MERGEFORMAT </w:instrText>
      </w:r>
      <w:r w:rsidR="005660C3" w:rsidRPr="00667D7C">
        <w:fldChar w:fldCharType="separate"/>
      </w:r>
      <w:r w:rsidR="00A96952">
        <w:t>4.1</w:t>
      </w:r>
      <w:r w:rsidR="005660C3" w:rsidRPr="00667D7C">
        <w:fldChar w:fldCharType="end"/>
      </w:r>
      <w:r w:rsidR="005660C3" w:rsidRPr="00667D7C">
        <w:t xml:space="preserve"> odst.</w:t>
      </w:r>
      <w:r w:rsidR="00667D7C" w:rsidRPr="00667D7C">
        <w:fldChar w:fldCharType="begin"/>
      </w:r>
      <w:r w:rsidR="00667D7C" w:rsidRPr="00667D7C">
        <w:instrText xml:space="preserve"> REF _Ref464656875 \n \h </w:instrText>
      </w:r>
      <w:r w:rsidR="00667D7C">
        <w:instrText xml:space="preserve"> \* MERGEFORMAT </w:instrText>
      </w:r>
      <w:r w:rsidR="00667D7C" w:rsidRPr="00667D7C">
        <w:fldChar w:fldCharType="separate"/>
      </w:r>
      <w:r w:rsidR="00A96952">
        <w:t>(4)</w:t>
      </w:r>
      <w:r w:rsidR="00667D7C" w:rsidRPr="00667D7C">
        <w:fldChar w:fldCharType="end"/>
      </w:r>
      <w:r w:rsidR="005660C3" w:rsidRPr="00667D7C">
        <w:t>.</w:t>
      </w:r>
    </w:p>
    <w:p w14:paraId="56C0B68A" w14:textId="77777777" w:rsidR="00852542" w:rsidRPr="00667D7C" w:rsidRDefault="00413165" w:rsidP="00667D7C">
      <w:pPr>
        <w:pStyle w:val="PFI-odstavec"/>
      </w:pPr>
      <w:r w:rsidRPr="00667D7C">
        <w:t xml:space="preserve">Nabídka </w:t>
      </w:r>
      <w:r w:rsidR="00156527" w:rsidRPr="00667D7C">
        <w:t>nesmí obsahovat přepisy a opravy, které by mohly zadavatele uvést v omyl.</w:t>
      </w:r>
    </w:p>
    <w:p w14:paraId="1DA6F82D" w14:textId="624D1ABA" w:rsidR="00553209" w:rsidRPr="00FC2C87" w:rsidRDefault="00553209" w:rsidP="00C60AF8">
      <w:pPr>
        <w:pStyle w:val="PFI-odstavec"/>
      </w:pPr>
      <w:bookmarkStart w:id="33" w:name="_Ref386542684"/>
      <w:bookmarkStart w:id="34" w:name="_Ref334349800"/>
      <w:r w:rsidRPr="00E76AA6">
        <w:t xml:space="preserve">Nabídka bude zadavateli doručena v řádně uzavřené obálce, která bude výrazně označena </w:t>
      </w:r>
      <w:r w:rsidRPr="00FC2C87">
        <w:t>„</w:t>
      </w:r>
      <w:r w:rsidR="00DB4ADA" w:rsidRPr="00FC2C87">
        <w:t xml:space="preserve">NABÍDKA – </w:t>
      </w:r>
      <w:r w:rsidR="00DB4ADA" w:rsidRPr="00FC2C87">
        <w:fldChar w:fldCharType="begin"/>
      </w:r>
      <w:r w:rsidR="00DB4ADA" w:rsidRPr="00FC2C87">
        <w:instrText xml:space="preserve"> REF zakazka_jmeno \h  \* MERGEFORMAT </w:instrText>
      </w:r>
      <w:r w:rsidR="00DB4ADA" w:rsidRPr="00FC2C87">
        <w:fldChar w:fldCharType="separate"/>
      </w:r>
      <w:r w:rsidR="00FC2C87" w:rsidRPr="00A96952">
        <w:t xml:space="preserve">Modernizace informačního systému </w:t>
      </w:r>
      <w:r w:rsidR="00FC2C87" w:rsidRPr="00FC2C87">
        <w:t>Města Mariánské Lázně</w:t>
      </w:r>
      <w:r w:rsidR="00DB4ADA" w:rsidRPr="00FC2C87">
        <w:fldChar w:fldCharType="end"/>
      </w:r>
      <w:r w:rsidRPr="00FC2C87">
        <w:t xml:space="preserve"> –</w:t>
      </w:r>
      <w:r w:rsidR="009B7837" w:rsidRPr="00FC2C87">
        <w:t xml:space="preserve"> </w:t>
      </w:r>
      <w:r w:rsidRPr="00FC2C87">
        <w:t>NEOTVÍRAT“.</w:t>
      </w:r>
      <w:bookmarkEnd w:id="33"/>
    </w:p>
    <w:p w14:paraId="298B90A5" w14:textId="77777777" w:rsidR="0011284D" w:rsidRPr="00A16372" w:rsidRDefault="005977EF" w:rsidP="00C60AF8">
      <w:r w:rsidRPr="00A16372">
        <w:lastRenderedPageBreak/>
        <w:t xml:space="preserve">Pokud je nabídka podávána ve více než jedné obálce, musí být všechny obálky, do kterých je vložena nabídka </w:t>
      </w:r>
      <w:r w:rsidR="00682DCC" w:rsidRPr="00A16372">
        <w:t>dodavatel</w:t>
      </w:r>
      <w:r w:rsidRPr="00A16372">
        <w:t>e, označeny podle výše uvedených požadavků</w:t>
      </w:r>
      <w:r w:rsidR="00C60AF8" w:rsidRPr="00A16372">
        <w:t xml:space="preserve">. Zadavatel dále doporučuje takové obálky opatřit alespoň názvem dodavatele, pořadím obálky a celkovým počtem obálek </w:t>
      </w:r>
      <w:r w:rsidRPr="00A16372">
        <w:t xml:space="preserve">– tak, aby byla </w:t>
      </w:r>
      <w:r w:rsidR="00C60AF8" w:rsidRPr="00A16372">
        <w:t xml:space="preserve">nabídka </w:t>
      </w:r>
      <w:r w:rsidRPr="00A16372">
        <w:t xml:space="preserve">zadavatelem jednoznačně </w:t>
      </w:r>
      <w:r w:rsidR="00C60AF8" w:rsidRPr="00A16372">
        <w:t xml:space="preserve">a úplně </w:t>
      </w:r>
      <w:r w:rsidRPr="00A16372">
        <w:t>identifikovatelná a aby se tím výrazně eliminovala rizika jejího předčasného otevření a chybného převzetí.</w:t>
      </w:r>
    </w:p>
    <w:p w14:paraId="6A38C98E" w14:textId="77777777" w:rsidR="00553209" w:rsidRPr="00A16372" w:rsidRDefault="00553209" w:rsidP="00564DE3">
      <w:pPr>
        <w:pStyle w:val="Nadpis3"/>
        <w:numPr>
          <w:ilvl w:val="2"/>
          <w:numId w:val="14"/>
        </w:numPr>
      </w:pPr>
      <w:bookmarkStart w:id="35" w:name="_Ref374706480"/>
      <w:r w:rsidRPr="00A16372">
        <w:t xml:space="preserve">Obecné formální </w:t>
      </w:r>
      <w:r w:rsidR="00E21F28" w:rsidRPr="00A16372">
        <w:t xml:space="preserve">(doporučující) </w:t>
      </w:r>
      <w:r w:rsidRPr="00A16372">
        <w:t>požadavky</w:t>
      </w:r>
      <w:bookmarkEnd w:id="35"/>
    </w:p>
    <w:p w14:paraId="1F992E98" w14:textId="107B8C5D" w:rsidR="00852542" w:rsidRPr="00A16372" w:rsidRDefault="00852542" w:rsidP="00E21F28">
      <w:pPr>
        <w:pStyle w:val="PFI-odstavec"/>
      </w:pPr>
      <w:r w:rsidRPr="00A16372">
        <w:t xml:space="preserve">Nabídka bude seřazena dle požadavků specifikovaných v bodě </w:t>
      </w:r>
      <w:r w:rsidR="004559D8" w:rsidRPr="00A16372">
        <w:fldChar w:fldCharType="begin"/>
      </w:r>
      <w:r w:rsidR="004559D8" w:rsidRPr="00A16372">
        <w:instrText xml:space="preserve"> REF _Ref159909559 \r \h </w:instrText>
      </w:r>
      <w:r w:rsidR="00E76AA6" w:rsidRPr="00A16372">
        <w:instrText xml:space="preserve"> \* MERGEFORMAT </w:instrText>
      </w:r>
      <w:r w:rsidR="004559D8" w:rsidRPr="00A16372">
        <w:fldChar w:fldCharType="separate"/>
      </w:r>
      <w:r w:rsidR="00A96952">
        <w:t>4.3</w:t>
      </w:r>
      <w:r w:rsidR="004559D8" w:rsidRPr="00A16372">
        <w:fldChar w:fldCharType="end"/>
      </w:r>
      <w:r w:rsidRPr="00A16372">
        <w:t xml:space="preserve">, jednotlivé listy musí být spolu pevně spojeny a musí být zabezpečeny proti manipulaci, očíslované nepřerušovanou vzestupnou číselnou řadou a druhá stránka (součást krycího listu) bude obsahovat přehled jednotlivých dokumentů s uvedením </w:t>
      </w:r>
      <w:r w:rsidR="00543C2E" w:rsidRPr="00A16372">
        <w:t xml:space="preserve">čísla </w:t>
      </w:r>
      <w:r w:rsidRPr="00A16372">
        <w:t>stránky.</w:t>
      </w:r>
      <w:bookmarkEnd w:id="34"/>
    </w:p>
    <w:p w14:paraId="529D472C" w14:textId="77777777" w:rsidR="00852542" w:rsidRPr="00AC1906" w:rsidRDefault="00682DCC" w:rsidP="00682DCC">
      <w:pPr>
        <w:pStyle w:val="PFI-odstavec"/>
      </w:pPr>
      <w:r w:rsidRPr="00A16372">
        <w:t>Dodavatel</w:t>
      </w:r>
      <w:r w:rsidR="00852542" w:rsidRPr="00A16372">
        <w:t xml:space="preserve"> předloží </w:t>
      </w:r>
      <w:r w:rsidR="00852542" w:rsidRPr="00AC1906">
        <w:t>nabídku v originále a jedné kopii v</w:t>
      </w:r>
      <w:r w:rsidR="004A0E8E" w:rsidRPr="00AC1906">
        <w:t xml:space="preserve"> listinné </w:t>
      </w:r>
      <w:r w:rsidR="00852542" w:rsidRPr="00AC1906">
        <w:t xml:space="preserve">podobě a jedné kopii elektronicky na CD. V případě zjištění rozdílů mezi </w:t>
      </w:r>
      <w:r w:rsidR="004A0E8E" w:rsidRPr="00AC1906">
        <w:t xml:space="preserve">listinnou </w:t>
      </w:r>
      <w:r w:rsidR="00852542" w:rsidRPr="00AC1906">
        <w:t xml:space="preserve">a elektronickou </w:t>
      </w:r>
      <w:r w:rsidR="00BD4255" w:rsidRPr="00AC1906">
        <w:t xml:space="preserve">verzí </w:t>
      </w:r>
      <w:r w:rsidR="00852542" w:rsidRPr="00AC1906">
        <w:t xml:space="preserve">je rozhodující </w:t>
      </w:r>
      <w:r w:rsidR="004A0E8E" w:rsidRPr="00AC1906">
        <w:t xml:space="preserve">listinná </w:t>
      </w:r>
      <w:r w:rsidR="00852542" w:rsidRPr="00AC1906">
        <w:t>podoba.</w:t>
      </w:r>
    </w:p>
    <w:p w14:paraId="76C04789" w14:textId="77777777" w:rsidR="00BF5019" w:rsidRPr="00E76AA6" w:rsidRDefault="00852542" w:rsidP="00E21F28">
      <w:pPr>
        <w:pStyle w:val="PFI-odstavec"/>
      </w:pPr>
      <w:r w:rsidRPr="00AC1906">
        <w:t>Pro elektronické provedení na CD smějí být použity obecně</w:t>
      </w:r>
      <w:r w:rsidRPr="00E76AA6">
        <w:t xml:space="preserve"> </w:t>
      </w:r>
      <w:r w:rsidRPr="00E21F28">
        <w:t>dostupné</w:t>
      </w:r>
      <w:r w:rsidRPr="00E76AA6">
        <w:t xml:space="preserve"> formáty a programy (Microsoft Office (Word,</w:t>
      </w:r>
      <w:r w:rsidR="0020071D" w:rsidRPr="00E76AA6">
        <w:t xml:space="preserve"> </w:t>
      </w:r>
      <w:r w:rsidRPr="00E76AA6">
        <w:t>Excel), Adobe Reader, Open Office apod.)</w:t>
      </w:r>
    </w:p>
    <w:p w14:paraId="498549D5" w14:textId="77777777" w:rsidR="00852542" w:rsidRPr="00E76AA6" w:rsidRDefault="009E43F2" w:rsidP="00E21F28">
      <w:pPr>
        <w:pStyle w:val="Nadpis2"/>
      </w:pPr>
      <w:bookmarkStart w:id="36" w:name="_Ref159909559"/>
      <w:r w:rsidRPr="00E76AA6">
        <w:t xml:space="preserve">Vlastní </w:t>
      </w:r>
      <w:r w:rsidRPr="00E21F28">
        <w:t>sestavení</w:t>
      </w:r>
      <w:r w:rsidR="00852542" w:rsidRPr="00E76AA6">
        <w:t xml:space="preserve"> nabídky</w:t>
      </w:r>
      <w:bookmarkEnd w:id="36"/>
    </w:p>
    <w:p w14:paraId="196E3BFC" w14:textId="77777777" w:rsidR="00236159" w:rsidRDefault="00236159" w:rsidP="00E21F28">
      <w:r w:rsidRPr="00E21F28">
        <w:t xml:space="preserve">Nabídka bude obsahovat následující části v níže uvedeném řazení (viz též Příloha 1 – Krycí list; některé požadované části nabídky jsou dále upřesněny v bodech </w:t>
      </w:r>
      <w:r w:rsidRPr="00E21F28">
        <w:fldChar w:fldCharType="begin"/>
      </w:r>
      <w:r w:rsidRPr="00E21F28">
        <w:instrText xml:space="preserve"> REF _Ref366400536 \n \h </w:instrText>
      </w:r>
      <w:r w:rsidR="00E76AA6" w:rsidRPr="00E21F28">
        <w:instrText xml:space="preserve"> \* MERGEFORMAT </w:instrText>
      </w:r>
      <w:r w:rsidRPr="00E21F28">
        <w:fldChar w:fldCharType="separate"/>
      </w:r>
      <w:r w:rsidR="00A96952">
        <w:t>(7)</w:t>
      </w:r>
      <w:r w:rsidRPr="00E21F28">
        <w:fldChar w:fldCharType="end"/>
      </w:r>
      <w:r w:rsidRPr="00E21F28">
        <w:t xml:space="preserve"> a </w:t>
      </w:r>
      <w:r w:rsidRPr="00E21F28">
        <w:fldChar w:fldCharType="begin"/>
      </w:r>
      <w:r w:rsidRPr="00E21F28">
        <w:instrText xml:space="preserve"> REF _Ref366400549 \n \h </w:instrText>
      </w:r>
      <w:r w:rsidR="00E76AA6" w:rsidRPr="00E21F28">
        <w:instrText xml:space="preserve"> \* MERGEFORMAT </w:instrText>
      </w:r>
      <w:r w:rsidRPr="00E21F28">
        <w:fldChar w:fldCharType="separate"/>
      </w:r>
      <w:r w:rsidR="00A96952">
        <w:t>3</w:t>
      </w:r>
      <w:r w:rsidRPr="00E21F28">
        <w:fldChar w:fldCharType="end"/>
      </w:r>
      <w:r w:rsidR="0013349C">
        <w:t>).</w:t>
      </w:r>
    </w:p>
    <w:p w14:paraId="34FFF097" w14:textId="77777777" w:rsidR="00465A5F" w:rsidRPr="00E76AA6" w:rsidRDefault="00852542" w:rsidP="00682DCC">
      <w:pPr>
        <w:pStyle w:val="PFI-odstavec"/>
      </w:pPr>
      <w:r w:rsidRPr="00E76AA6">
        <w:t xml:space="preserve">Krycí list nabídky dle </w:t>
      </w:r>
      <w:r w:rsidR="00FB3E02" w:rsidRPr="00E76AA6">
        <w:t>P</w:t>
      </w:r>
      <w:r w:rsidRPr="00E76AA6">
        <w:t xml:space="preserve">řílohy 1 s uvedením obsahu a uvedením stránky kde se příslušná část nabídky nachází. Tento krycí list musí </w:t>
      </w:r>
      <w:r w:rsidR="0029249E" w:rsidRPr="00E76AA6">
        <w:t xml:space="preserve">též </w:t>
      </w:r>
      <w:r w:rsidRPr="00E76AA6">
        <w:t xml:space="preserve">obsahovat </w:t>
      </w:r>
      <w:r w:rsidR="00F32F4C" w:rsidRPr="00E76AA6">
        <w:t xml:space="preserve">identifikační údaje </w:t>
      </w:r>
      <w:r w:rsidR="00682DCC">
        <w:t>dodavatel</w:t>
      </w:r>
      <w:r w:rsidR="00F32F4C" w:rsidRPr="00E76AA6">
        <w:t>e</w:t>
      </w:r>
      <w:r w:rsidRPr="00E76AA6">
        <w:t xml:space="preserve">. </w:t>
      </w:r>
    </w:p>
    <w:p w14:paraId="59BD939E" w14:textId="4AF1871D" w:rsidR="00097AE3" w:rsidRPr="00FC2C87" w:rsidRDefault="00097AE3" w:rsidP="009076B5">
      <w:pPr>
        <w:pStyle w:val="PFI-odstavec"/>
      </w:pPr>
      <w:bookmarkStart w:id="37" w:name="_Ref334362850"/>
      <w:r w:rsidRPr="00E76AA6">
        <w:t xml:space="preserve">Originál dokladu o poskytnutí jistoty, pokud </w:t>
      </w:r>
      <w:r w:rsidR="00682DCC" w:rsidRPr="00682DCC">
        <w:t>dodavatel</w:t>
      </w:r>
      <w:r w:rsidRPr="00E76AA6">
        <w:t xml:space="preserve"> poskytl jistotu formou bankovní záruky či pojištění záruky (bude volně vložen</w:t>
      </w:r>
      <w:r w:rsidR="007C608A" w:rsidRPr="00E76AA6">
        <w:t xml:space="preserve"> tak, aby ho bylo možné bez poškození vyjmout</w:t>
      </w:r>
      <w:r w:rsidR="009076B5">
        <w:t xml:space="preserve"> </w:t>
      </w:r>
      <w:r w:rsidR="009076B5" w:rsidRPr="009076B5">
        <w:t xml:space="preserve">a v </w:t>
      </w:r>
      <w:r w:rsidR="009076B5" w:rsidRPr="00FC2C87">
        <w:t>souladu s § 4</w:t>
      </w:r>
      <w:r w:rsidR="009144CD" w:rsidRPr="00FC2C87">
        <w:t>1</w:t>
      </w:r>
      <w:r w:rsidR="009076B5" w:rsidRPr="00FC2C87">
        <w:t xml:space="preserve"> odst. 6 ZZVZ vrátit dodavateli</w:t>
      </w:r>
      <w:r w:rsidRPr="00FC2C87">
        <w:t xml:space="preserve">). </w:t>
      </w:r>
    </w:p>
    <w:p w14:paraId="58D4E82B" w14:textId="77777777" w:rsidR="00097AE3" w:rsidRPr="00E76AA6" w:rsidRDefault="00097AE3" w:rsidP="009076B5">
      <w:pPr>
        <w:pStyle w:val="PFI-odstavec"/>
      </w:pPr>
      <w:r w:rsidRPr="00E76AA6">
        <w:t xml:space="preserve">Kopie dokladu o </w:t>
      </w:r>
      <w:r w:rsidRPr="00A566A2">
        <w:t>poskytnutí</w:t>
      </w:r>
      <w:r w:rsidRPr="00E76AA6">
        <w:t xml:space="preserve"> jistoty</w:t>
      </w:r>
      <w:r w:rsidR="009076B5">
        <w:t xml:space="preserve"> (zůstane</w:t>
      </w:r>
      <w:r w:rsidR="009076B5" w:rsidRPr="009076B5">
        <w:t xml:space="preserve"> v nabídce jako součást dokumentace i po vrácení originálů listin </w:t>
      </w:r>
      <w:r w:rsidR="009076B5">
        <w:t>dodavateli)</w:t>
      </w:r>
      <w:r w:rsidRPr="00E76AA6">
        <w:t>.</w:t>
      </w:r>
    </w:p>
    <w:p w14:paraId="7ADB964E" w14:textId="79AEB2A4" w:rsidR="007777D4" w:rsidRPr="004469A1" w:rsidRDefault="002A7BBE" w:rsidP="0031047F">
      <w:pPr>
        <w:pStyle w:val="PFI-odstavec"/>
      </w:pPr>
      <w:r w:rsidRPr="004469A1">
        <w:t>D</w:t>
      </w:r>
      <w:r w:rsidR="00ED11D2" w:rsidRPr="004469A1">
        <w:t xml:space="preserve">oklady o kvalifikaci (viz bod </w:t>
      </w:r>
      <w:r w:rsidR="00ED11D2" w:rsidRPr="004469A1">
        <w:fldChar w:fldCharType="begin"/>
      </w:r>
      <w:r w:rsidR="00ED11D2" w:rsidRPr="004469A1">
        <w:instrText xml:space="preserve"> REF _Ref464710290 \r \h </w:instrText>
      </w:r>
      <w:r w:rsidR="006C5EA4" w:rsidRPr="004469A1">
        <w:instrText xml:space="preserve"> \* MERGEFORMAT </w:instrText>
      </w:r>
      <w:r w:rsidR="00ED11D2" w:rsidRPr="004469A1">
        <w:fldChar w:fldCharType="separate"/>
      </w:r>
      <w:r w:rsidR="00FC2C87" w:rsidRPr="004469A1">
        <w:t>(5</w:t>
      </w:r>
      <w:r w:rsidR="00A96952" w:rsidRPr="004469A1">
        <w:t>)</w:t>
      </w:r>
      <w:r w:rsidR="00ED11D2" w:rsidRPr="004469A1">
        <w:fldChar w:fldCharType="end"/>
      </w:r>
      <w:r w:rsidR="00ED11D2" w:rsidRPr="004469A1">
        <w:t xml:space="preserve">, ve vztahu k nabídkám </w:t>
      </w:r>
      <w:r w:rsidR="00E32585" w:rsidRPr="004469A1">
        <w:t xml:space="preserve">zejména </w:t>
      </w:r>
      <w:r w:rsidR="00ED11D2" w:rsidRPr="004469A1">
        <w:t xml:space="preserve">bod </w:t>
      </w:r>
      <w:r w:rsidR="0073654F" w:rsidRPr="004469A1">
        <w:fldChar w:fldCharType="begin"/>
      </w:r>
      <w:r w:rsidR="0073654F" w:rsidRPr="004469A1">
        <w:instrText xml:space="preserve"> REF _Ref492199409 \w \h </w:instrText>
      </w:r>
      <w:r w:rsidR="006C5EA4" w:rsidRPr="004469A1">
        <w:instrText xml:space="preserve"> \* MERGEFORMAT </w:instrText>
      </w:r>
      <w:r w:rsidR="0073654F" w:rsidRPr="004469A1">
        <w:fldChar w:fldCharType="separate"/>
      </w:r>
      <w:r w:rsidR="00A96952" w:rsidRPr="004469A1">
        <w:t>5.2</w:t>
      </w:r>
      <w:r w:rsidR="0073654F" w:rsidRPr="004469A1">
        <w:fldChar w:fldCharType="end"/>
      </w:r>
      <w:r w:rsidR="00ED11D2" w:rsidRPr="004469A1">
        <w:t>)</w:t>
      </w:r>
      <w:r w:rsidR="007777D4" w:rsidRPr="004469A1">
        <w:t>.</w:t>
      </w:r>
    </w:p>
    <w:p w14:paraId="552222A0" w14:textId="77777777" w:rsidR="0013349C" w:rsidRDefault="000B4061" w:rsidP="00A566A2">
      <w:pPr>
        <w:pStyle w:val="PFI-odstavec"/>
      </w:pPr>
      <w:bookmarkStart w:id="38" w:name="_Ref172989641"/>
      <w:bookmarkEnd w:id="37"/>
      <w:r>
        <w:t>Čestné prohlášení, že dodavatel souhlasí se smluvními podmínkami a v případě, že bude vybrán k plnění veřejné zakázky, podepíše smlouvu v souladu s těmito smluvními podmínkami</w:t>
      </w:r>
      <w:r w:rsidR="0013349C">
        <w:t>.</w:t>
      </w:r>
    </w:p>
    <w:p w14:paraId="19972A5F" w14:textId="77777777" w:rsidR="000B4061" w:rsidRPr="0013349C" w:rsidRDefault="0013349C" w:rsidP="0013349C">
      <w:pPr>
        <w:rPr>
          <w:i/>
        </w:rPr>
      </w:pPr>
      <w:r w:rsidRPr="0013349C">
        <w:rPr>
          <w:i/>
        </w:rPr>
        <w:t>Návrh smlouvy ani jeho přílohy, pokud nejsou v tomto bodě Zadávací dokumentace výslovně uvedeny, tedy není nutné do nabídky předkládat</w:t>
      </w:r>
      <w:r w:rsidR="000B4061" w:rsidRPr="0013349C">
        <w:rPr>
          <w:i/>
        </w:rPr>
        <w:t>.</w:t>
      </w:r>
    </w:p>
    <w:bookmarkEnd w:id="38"/>
    <w:p w14:paraId="7B8C240D" w14:textId="77777777" w:rsidR="00805C9F" w:rsidRDefault="00805C9F" w:rsidP="00A566A2">
      <w:pPr>
        <w:pStyle w:val="PFI-odstavec"/>
      </w:pPr>
      <w:r w:rsidRPr="00A566A2">
        <w:t>Kalkulaci</w:t>
      </w:r>
      <w:r w:rsidRPr="00E76AA6">
        <w:t xml:space="preserve"> nabídkové ceny dle bodu </w:t>
      </w:r>
      <w:r w:rsidR="004559D8" w:rsidRPr="00E76AA6">
        <w:fldChar w:fldCharType="begin"/>
      </w:r>
      <w:r w:rsidR="004559D8" w:rsidRPr="00E76AA6">
        <w:instrText xml:space="preserve"> REF _Ref349830842 \n \h </w:instrText>
      </w:r>
      <w:r w:rsidR="00E76AA6">
        <w:instrText xml:space="preserve"> \* MERGEFORMAT </w:instrText>
      </w:r>
      <w:r w:rsidR="004559D8" w:rsidRPr="00E76AA6">
        <w:fldChar w:fldCharType="separate"/>
      </w:r>
      <w:r w:rsidR="00A96952">
        <w:t>3</w:t>
      </w:r>
      <w:r w:rsidR="004559D8" w:rsidRPr="00E76AA6">
        <w:fldChar w:fldCharType="end"/>
      </w:r>
      <w:r w:rsidRPr="00E76AA6">
        <w:t>.</w:t>
      </w:r>
    </w:p>
    <w:p w14:paraId="1DAA01FE" w14:textId="77777777" w:rsidR="000E23F3" w:rsidRDefault="00BE0DB1" w:rsidP="00BE0DB1">
      <w:pPr>
        <w:pStyle w:val="PFI-odstavec"/>
      </w:pPr>
      <w:bookmarkStart w:id="39" w:name="_Ref366400536"/>
      <w:bookmarkStart w:id="40" w:name="_Ref464710290"/>
      <w:bookmarkStart w:id="41" w:name="_Toc477447831"/>
      <w:r w:rsidRPr="00D356B5">
        <w:t xml:space="preserve">Popis nabízeného technického řešení zpracovaný dle požadavků Přílohy 3.a - Technická specifikace. Popis nabízeného technického řešení musí být konkrétní, úplný a včetně kompletní značkové specifikace nabízených dodávek a musí prokazovat, že nabízené řešení jednoznačně splňuje všechny požadavky zadavatele. </w:t>
      </w:r>
    </w:p>
    <w:p w14:paraId="4393C4A8" w14:textId="5207181A" w:rsidR="000E23F3" w:rsidRDefault="000E23F3" w:rsidP="000E23F3">
      <w:pPr>
        <w:pStyle w:val="PFI-odstavec"/>
        <w:numPr>
          <w:ilvl w:val="0"/>
          <w:numId w:val="0"/>
        </w:numPr>
      </w:pPr>
      <w:r w:rsidRPr="000E23F3">
        <w:t>Dodavatel uvede ve své nabídce detailní popis postupu (metodiku) při implementaci předmětu plnění. Součástí popisu bude podrobný popis způsobu realizace požadovaných služeb s důrazem na postupy, kterými uchazeč zajistí dosažení požadovaných cílů.  Postup musí respektovat výchozí stav, doporučení výrobců pro implementaci nabízených dodávek, využití nejlepších praktik (best practice) a obecně platné technické předpisy a normy týkající se zakázky. Z popisu postupu musí být zřejmý způsob a náročnost (časová i odborná) zapojení zaměstnanců Zadavatele do realizace zakázky.</w:t>
      </w:r>
    </w:p>
    <w:p w14:paraId="4A500FB1" w14:textId="36CBCD67" w:rsidR="00BE0DB1" w:rsidRPr="00D356B5" w:rsidRDefault="00BE0DB1" w:rsidP="000E23F3">
      <w:pPr>
        <w:pStyle w:val="PFI-odstavec"/>
        <w:numPr>
          <w:ilvl w:val="0"/>
          <w:numId w:val="0"/>
        </w:numPr>
      </w:pPr>
      <w:r w:rsidRPr="00D356B5">
        <w:lastRenderedPageBreak/>
        <w:t xml:space="preserve">Popis nabízeného technického řešení bude zpracovaný v níže uvedeném členění: </w:t>
      </w:r>
    </w:p>
    <w:p w14:paraId="7C76D4A3" w14:textId="41391458" w:rsidR="00BE0DB1" w:rsidRPr="00D356B5" w:rsidRDefault="00BE0DB1" w:rsidP="00BE0DB1">
      <w:pPr>
        <w:pStyle w:val="PFI-pismeno"/>
      </w:pPr>
      <w:r w:rsidRPr="00D356B5">
        <w:t xml:space="preserve">Detailní návrh cílového stavu respektující požadavky podle Přílohy 3.a - Technická specifikace (zejména kapitoly 3) včetně uceleného detailního popisu jednotlivých částí systému a jejich vzájemných vazeb. Detailní návrh cílového stavu musí dále obsahovat detailní popis postupu implementace předmětu plnění včetně detailního popisu způsobu realizace implementačních služeb uvedených v kapitole </w:t>
      </w:r>
      <w:r w:rsidR="00D356B5">
        <w:t>5</w:t>
      </w:r>
      <w:r w:rsidRPr="00D356B5">
        <w:t xml:space="preserve"> Přílohy 3.a - Technická specifikace. </w:t>
      </w:r>
    </w:p>
    <w:p w14:paraId="75C85B29" w14:textId="77777777" w:rsidR="00BE0DB1" w:rsidRPr="00D356B5" w:rsidRDefault="00BE0DB1" w:rsidP="00BE0DB1">
      <w:pPr>
        <w:pStyle w:val="PFI-pismeno"/>
      </w:pPr>
      <w:r w:rsidRPr="00D356B5">
        <w:t>Detailní popis funkčních vlastností nabízeného plnění ve struktuře a rozsahu uvedených v kapitole 3 Přílohy 3.a - Technická specifikace.</w:t>
      </w:r>
    </w:p>
    <w:p w14:paraId="121B7F2E" w14:textId="4A1B1A77" w:rsidR="00BE0DB1" w:rsidRPr="00D356B5" w:rsidRDefault="00BE0DB1" w:rsidP="00BE0DB1">
      <w:pPr>
        <w:pStyle w:val="PFI-pismeno"/>
      </w:pPr>
      <w:r w:rsidRPr="00D356B5">
        <w:t>Detailní harmonogram projektu (vycházející a dodržující lhůty ze základn</w:t>
      </w:r>
      <w:r w:rsidR="00D356B5">
        <w:t xml:space="preserve">ího harmonogramu viz kapitola </w:t>
      </w:r>
      <w:r w:rsidRPr="00D356B5">
        <w:t>5 Přílohy 3.a - Technická specifikace) včetně popisu jednotlivých činností v dostatečném detailu. Z harmonogramu musí zejména vyplývat, že realizace předmětu zakázky proběhne v požadovaných termínech.</w:t>
      </w:r>
    </w:p>
    <w:p w14:paraId="43EAB21F" w14:textId="713FE712" w:rsidR="00BE0DB1" w:rsidRPr="00D356B5" w:rsidRDefault="00BE0DB1" w:rsidP="00BE0DB1">
      <w:pPr>
        <w:pStyle w:val="PFI-pismeno"/>
      </w:pPr>
      <w:r w:rsidRPr="00D356B5">
        <w:t xml:space="preserve">Návrh akceptačních scénářů a návrh způsobu provedení akceptačních testů (viz kapitola </w:t>
      </w:r>
      <w:r w:rsidR="001602BC">
        <w:t>5</w:t>
      </w:r>
      <w:r w:rsidRPr="00D356B5">
        <w:t xml:space="preserve"> Přílohy 3.a - Technická specifikace) v rozsahu, který zajistí prověření všech požadovaných funkcí a případnou vazbu na ostatní položky/systémy, se kterými konkrétní dodávka komunikuje nebo ke kterým je nějakým způsobem připojena, tzn. dochází v jakékoliv formě k výměně dat.</w:t>
      </w:r>
    </w:p>
    <w:p w14:paraId="1DC021C3" w14:textId="77777777" w:rsidR="00BE0DB1" w:rsidRPr="00D356B5" w:rsidRDefault="00BE0DB1" w:rsidP="00BE0DB1">
      <w:pPr>
        <w:pStyle w:val="PFI-pismeno"/>
      </w:pPr>
      <w:r w:rsidRPr="00D356B5">
        <w:t>Detailní popis navrhovaných školení v rozsahu požadovaném v kapitole 5 Přílohy 3.a - Technická specifikace.</w:t>
      </w:r>
    </w:p>
    <w:p w14:paraId="6EDBE8CA" w14:textId="3B279EFE" w:rsidR="00BE0DB1" w:rsidRPr="00936A1D" w:rsidRDefault="00BE0DB1" w:rsidP="00BE0DB1">
      <w:pPr>
        <w:pStyle w:val="PFI-pismeno"/>
      </w:pPr>
      <w:r w:rsidRPr="00D356B5">
        <w:t xml:space="preserve">Detailní popis záručního a pozáručního servisu alespoň v rozsahu požadovaném  v kapitole 6 </w:t>
      </w:r>
      <w:r w:rsidRPr="00936A1D">
        <w:t xml:space="preserve">Přílohy 3.a - Technická </w:t>
      </w:r>
      <w:r w:rsidR="007E3C3A">
        <w:t>specifikace</w:t>
      </w:r>
      <w:r w:rsidR="00D24FFF" w:rsidRPr="00936A1D">
        <w:t>.</w:t>
      </w:r>
    </w:p>
    <w:p w14:paraId="057E7B02" w14:textId="7A0B55E1" w:rsidR="00BE0DB1" w:rsidRDefault="00BE0DB1" w:rsidP="00BE0DB1">
      <w:pPr>
        <w:pStyle w:val="PFI-pismeno"/>
      </w:pPr>
      <w:r w:rsidRPr="00936A1D">
        <w:t xml:space="preserve">Detailní popis podpory provozu, tzn. servisních služeb, alespoň v rozsahu dle kapitoly </w:t>
      </w:r>
      <w:r w:rsidR="00D24FFF">
        <w:t>7</w:t>
      </w:r>
      <w:r w:rsidRPr="00936A1D">
        <w:t xml:space="preserve"> Přílohy 3.a </w:t>
      </w:r>
      <w:r w:rsidR="00D24FFF">
        <w:t xml:space="preserve">- </w:t>
      </w:r>
      <w:r w:rsidRPr="00936A1D">
        <w:t>Technická specifikace.</w:t>
      </w:r>
    </w:p>
    <w:p w14:paraId="76DE9756" w14:textId="77777777" w:rsidR="00125A45" w:rsidRDefault="00125A45" w:rsidP="00125A45">
      <w:pPr>
        <w:pStyle w:val="PFI-pismeno"/>
        <w:numPr>
          <w:ilvl w:val="0"/>
          <w:numId w:val="0"/>
        </w:numPr>
      </w:pPr>
      <w:r>
        <w:t xml:space="preserve">Popis nabízeného technického řešení bude sloužit k ověření, zda plnění, které dodavatel nabízí, odpovídá zadání a cíli, ke kterému zakázka směřuje. Pokud by z popisu nabízeného technického řešení vyplynulo, že nabídka je v rozporu s požadavky stanovenými v této zadávací dokumentaci, bude z výběrového řízení vyřazena. </w:t>
      </w:r>
    </w:p>
    <w:p w14:paraId="641935AB" w14:textId="5460B2AE" w:rsidR="00125A45" w:rsidRPr="00936A1D" w:rsidRDefault="00125A45" w:rsidP="00125A45">
      <w:pPr>
        <w:pStyle w:val="PFI-pismeno"/>
        <w:numPr>
          <w:ilvl w:val="0"/>
          <w:numId w:val="0"/>
        </w:numPr>
      </w:pPr>
      <w:r>
        <w:t>Popis nabízeného technického řešení obsažený v nabídce vybraného dodavatele se stane přílohou smlouvy uzavřené s tímto dodavatelem a dodavatel bude povinen v souladu s tímto popisem nabízeného technického řešení postupovat při zpracování Díla.</w:t>
      </w:r>
    </w:p>
    <w:p w14:paraId="1D130CBA" w14:textId="77777777" w:rsidR="00363E5C" w:rsidRDefault="00BE0DB1" w:rsidP="00824B1C">
      <w:pPr>
        <w:pStyle w:val="PFI-odstavec"/>
      </w:pPr>
      <w:r w:rsidRPr="00D356B5">
        <w:t>Údaje pro hodnocení nabídek</w:t>
      </w:r>
      <w:r w:rsidR="00363E5C">
        <w:t>:</w:t>
      </w:r>
    </w:p>
    <w:p w14:paraId="35774720" w14:textId="0983C070" w:rsidR="00363E5C" w:rsidRDefault="00363E5C" w:rsidP="00363E5C">
      <w:pPr>
        <w:pStyle w:val="PFI-pismeno"/>
      </w:pPr>
      <w:r>
        <w:t>metodika implementace,</w:t>
      </w:r>
    </w:p>
    <w:p w14:paraId="6041A54F" w14:textId="1BA8CAC2" w:rsidR="00BE0DB1" w:rsidRPr="00D356B5" w:rsidRDefault="00BE0DB1" w:rsidP="00363E5C">
      <w:pPr>
        <w:pStyle w:val="PFI-pismeno"/>
      </w:pPr>
      <w:r w:rsidRPr="00D356B5">
        <w:t>vyplněná tabulka podle kapitoly 4 Přílohy 3.a – Technická specifikace.</w:t>
      </w:r>
    </w:p>
    <w:p w14:paraId="516FC0A2" w14:textId="77777777" w:rsidR="0036023F" w:rsidRPr="00E76AA6" w:rsidRDefault="00FE1B6D" w:rsidP="00DB6513">
      <w:pPr>
        <w:pStyle w:val="Nadpis1"/>
      </w:pPr>
      <w:r w:rsidRPr="00DB6513">
        <w:t>K</w:t>
      </w:r>
      <w:r w:rsidR="0036023F" w:rsidRPr="00DB6513">
        <w:t>valifikace</w:t>
      </w:r>
      <w:bookmarkEnd w:id="25"/>
      <w:bookmarkEnd w:id="39"/>
      <w:bookmarkEnd w:id="40"/>
      <w:bookmarkEnd w:id="41"/>
    </w:p>
    <w:p w14:paraId="473DE722" w14:textId="77777777" w:rsidR="00FE1B6D" w:rsidRPr="00E76AA6" w:rsidRDefault="00FE1B6D" w:rsidP="00DB6882">
      <w:pPr>
        <w:pStyle w:val="Nadpis2"/>
      </w:pPr>
      <w:r w:rsidRPr="00E76AA6">
        <w:t xml:space="preserve">Splnění </w:t>
      </w:r>
      <w:r w:rsidRPr="00DB6882">
        <w:t>kvalifikace</w:t>
      </w:r>
      <w:r w:rsidR="00ED11D2">
        <w:t xml:space="preserve">, </w:t>
      </w:r>
      <w:r w:rsidR="00FA2F05">
        <w:t>doklady k prokázání kvalifikace</w:t>
      </w:r>
    </w:p>
    <w:p w14:paraId="2CD8ECDA" w14:textId="77777777" w:rsidR="00DB6882" w:rsidRDefault="00FE1B6D" w:rsidP="007159BE">
      <w:pPr>
        <w:pStyle w:val="PFI-odstavec"/>
      </w:pPr>
      <w:r w:rsidRPr="00E76AA6">
        <w:t xml:space="preserve">Kvalifikaci splní dodavatel, který </w:t>
      </w:r>
      <w:r w:rsidR="00DB6882">
        <w:t>splní požadavky na</w:t>
      </w:r>
    </w:p>
    <w:p w14:paraId="19033772" w14:textId="77777777" w:rsidR="00DB6882" w:rsidRDefault="00DB6882" w:rsidP="00DB6882">
      <w:pPr>
        <w:pStyle w:val="PFI-pismeno"/>
      </w:pPr>
      <w:r>
        <w:t>základní způsobilost</w:t>
      </w:r>
      <w:r w:rsidRPr="00DB6882">
        <w:t xml:space="preserve"> podle § 74</w:t>
      </w:r>
      <w:r>
        <w:t xml:space="preserve"> ZZVZ,</w:t>
      </w:r>
    </w:p>
    <w:p w14:paraId="2B72D87F" w14:textId="77777777" w:rsidR="00DB6882" w:rsidRDefault="00DB6882" w:rsidP="00DB6882">
      <w:pPr>
        <w:pStyle w:val="PFI-pismeno"/>
      </w:pPr>
      <w:r>
        <w:t>profesní způsobilost</w:t>
      </w:r>
      <w:r w:rsidRPr="00DB6882">
        <w:t xml:space="preserve"> podle § 77</w:t>
      </w:r>
      <w:r>
        <w:t xml:space="preserve"> ZZVZ,</w:t>
      </w:r>
    </w:p>
    <w:p w14:paraId="6FE84FEF" w14:textId="77777777" w:rsidR="00DB6882" w:rsidRDefault="00DB6882" w:rsidP="00DB6882">
      <w:pPr>
        <w:pStyle w:val="PFI-pismeno"/>
      </w:pPr>
      <w:r>
        <w:t>technickou kvalifikaci v souladu s § 79 ZZVZ.</w:t>
      </w:r>
    </w:p>
    <w:p w14:paraId="1F98A439" w14:textId="77777777" w:rsidR="009231A7" w:rsidRDefault="009231A7" w:rsidP="009231A7">
      <w:pPr>
        <w:pStyle w:val="PFI-odstavec"/>
      </w:pPr>
      <w:bookmarkStart w:id="42" w:name="_Ref490636337"/>
      <w:r w:rsidRPr="00C77EFB">
        <w:lastRenderedPageBreak/>
        <w:t>Doklady prokazující základní způsobilost podle § 74 a profesní způsobilost podle § 77 odst. 1 musí prokazovat splnění požadovaného kritéria způsobilosti nejpozději v době 3 měsíců přede dnem podání nabídky.</w:t>
      </w:r>
    </w:p>
    <w:p w14:paraId="085B56D1" w14:textId="77777777" w:rsidR="00FA2F05" w:rsidRPr="00812EDF" w:rsidRDefault="00FA2F05" w:rsidP="00FA2F05">
      <w:pPr>
        <w:pStyle w:val="PFI-odstavec"/>
      </w:pPr>
      <w:r w:rsidRPr="0055278B">
        <w:t xml:space="preserve">Zadavatel </w:t>
      </w:r>
      <w:r>
        <w:t xml:space="preserve">k prokázání požadavků podle bodů </w:t>
      </w:r>
      <w:r w:rsidR="001A65FE">
        <w:fldChar w:fldCharType="begin"/>
      </w:r>
      <w:r w:rsidR="001A65FE">
        <w:instrText xml:space="preserve"> REF _Ref490989481 \r \h </w:instrText>
      </w:r>
      <w:r w:rsidR="001A65FE">
        <w:fldChar w:fldCharType="separate"/>
      </w:r>
      <w:r w:rsidR="00A96952">
        <w:t>5.4</w:t>
      </w:r>
      <w:r w:rsidR="001A65FE">
        <w:fldChar w:fldCharType="end"/>
      </w:r>
      <w:r>
        <w:t xml:space="preserve"> (základní způsobilost) a </w:t>
      </w:r>
      <w:r w:rsidR="001A65FE">
        <w:fldChar w:fldCharType="begin"/>
      </w:r>
      <w:r w:rsidR="001A65FE">
        <w:instrText xml:space="preserve"> REF _Ref464815469 \r \h </w:instrText>
      </w:r>
      <w:r w:rsidR="001A65FE">
        <w:fldChar w:fldCharType="separate"/>
      </w:r>
      <w:r w:rsidR="00A96952">
        <w:t>5.5</w:t>
      </w:r>
      <w:r w:rsidR="001A65FE">
        <w:fldChar w:fldCharType="end"/>
      </w:r>
      <w:r w:rsidR="001A65FE">
        <w:t xml:space="preserve"> </w:t>
      </w:r>
      <w:r>
        <w:t>(profesní způsobilost) přijme též</w:t>
      </w:r>
      <w:r w:rsidRPr="0055278B">
        <w:t xml:space="preserve"> výpis ze seznamu kvalifikovaných dodavatelů</w:t>
      </w:r>
      <w:r>
        <w:t xml:space="preserve"> dle § 226 a násl. ZZVZ</w:t>
      </w:r>
      <w:r w:rsidRPr="0055278B">
        <w:t>, pokud k poslednímu dni, ke kterému má být prokázána základní způsobilost nebo profesní způsobilost, není výpis ze seznamu kvalifikovaných dodavatelů starší než 3 měsíce. Zadavatel nemusí přijmout výpis ze seznamu kvalifikovaných dodavatelů, na kterém je vyznačeno zahájení řízení podle § 231 odst. 4</w:t>
      </w:r>
      <w:r>
        <w:t xml:space="preserve"> ZZVZ</w:t>
      </w:r>
      <w:r w:rsidRPr="0055278B">
        <w:t>.</w:t>
      </w:r>
      <w:r>
        <w:t xml:space="preserve"> </w:t>
      </w:r>
      <w:r w:rsidRPr="00D72F60">
        <w:t xml:space="preserve">Má se za to, že dodavatel je kvalifikovaný v rozsahu uvedeném na </w:t>
      </w:r>
      <w:r>
        <w:t>výpisu</w:t>
      </w:r>
      <w:r w:rsidRPr="00D72F60">
        <w:t>.</w:t>
      </w:r>
    </w:p>
    <w:p w14:paraId="331E5250" w14:textId="77777777" w:rsidR="00FA2F05" w:rsidRDefault="00FA2F05" w:rsidP="00FA2F05">
      <w:pPr>
        <w:pStyle w:val="PFI-odstavec"/>
      </w:pPr>
      <w:r w:rsidRPr="0055278B">
        <w:t xml:space="preserve">Zadavatel </w:t>
      </w:r>
      <w:r>
        <w:t>k prokázání požadavků na kvalifikaci přijme též</w:t>
      </w:r>
      <w:r w:rsidRPr="0055278B">
        <w:t xml:space="preserve"> </w:t>
      </w:r>
      <w:r>
        <w:t>platný certifikát vydaný v rámci schváleného systému certifikovaných dodavatelů dle § 233 a násl. ZZVZ. Má se za to, že dodavatel je kvalifikovaný v rozsahu uvedeném na certifikátu.</w:t>
      </w:r>
    </w:p>
    <w:p w14:paraId="2D489E5B" w14:textId="77777777" w:rsidR="00ED11D2" w:rsidRDefault="00ED11D2" w:rsidP="00B20A7E">
      <w:pPr>
        <w:pStyle w:val="Nadpis2"/>
      </w:pPr>
      <w:bookmarkStart w:id="43" w:name="_Ref492199409"/>
      <w:r>
        <w:t>P</w:t>
      </w:r>
      <w:r w:rsidRPr="00ED11D2">
        <w:t>rokázání splnění kvalifikace v</w:t>
      </w:r>
      <w:r w:rsidR="00B20A7E">
        <w:t> </w:t>
      </w:r>
      <w:r w:rsidRPr="00ED11D2">
        <w:t>nabídce</w:t>
      </w:r>
      <w:bookmarkEnd w:id="42"/>
      <w:bookmarkEnd w:id="43"/>
    </w:p>
    <w:p w14:paraId="55EFD3FC" w14:textId="77777777" w:rsidR="00E32585" w:rsidRPr="00A16372" w:rsidRDefault="00E32585" w:rsidP="00E32585">
      <w:pPr>
        <w:pStyle w:val="PFI-odstavec"/>
      </w:pPr>
      <w:r w:rsidRPr="00A16372">
        <w:t xml:space="preserve">I pro prokazování splnění kvalifikace v nabídce platí bod </w:t>
      </w:r>
      <w:r w:rsidRPr="00A16372">
        <w:fldChar w:fldCharType="begin"/>
      </w:r>
      <w:r w:rsidRPr="00A16372">
        <w:instrText xml:space="preserve"> REF _Ref490637864 \r \h </w:instrText>
      </w:r>
      <w:r w:rsidR="00A16372">
        <w:instrText xml:space="preserve"> \* MERGEFORMAT </w:instrText>
      </w:r>
      <w:r w:rsidRPr="00A16372">
        <w:fldChar w:fldCharType="separate"/>
      </w:r>
      <w:r w:rsidR="00A96952">
        <w:t>4.1</w:t>
      </w:r>
      <w:r w:rsidRPr="00A16372">
        <w:fldChar w:fldCharType="end"/>
      </w:r>
      <w:r w:rsidRPr="00A16372">
        <w:t>.</w:t>
      </w:r>
    </w:p>
    <w:p w14:paraId="6CA45CF6" w14:textId="121C0CF3" w:rsidR="00ED11D2" w:rsidRDefault="00ED11D2" w:rsidP="00ED11D2">
      <w:pPr>
        <w:pStyle w:val="PFI-odstavec"/>
      </w:pPr>
      <w:r w:rsidRPr="00A16372">
        <w:t xml:space="preserve">Dodavatelé mohou v nabídkách nahradit předložení dokladů podle tohoto bodu </w:t>
      </w:r>
      <w:r w:rsidR="00E32585" w:rsidRPr="00A16372">
        <w:t>(</w:t>
      </w:r>
      <w:r w:rsidR="00E32585" w:rsidRPr="00A16372">
        <w:fldChar w:fldCharType="begin"/>
      </w:r>
      <w:r w:rsidR="00E32585" w:rsidRPr="00A16372">
        <w:instrText xml:space="preserve"> REF _Ref464710290 \r \h </w:instrText>
      </w:r>
      <w:r w:rsidR="00A16372">
        <w:instrText xml:space="preserve"> \* MERGEFORMAT </w:instrText>
      </w:r>
      <w:r w:rsidR="00E32585" w:rsidRPr="00A16372">
        <w:fldChar w:fldCharType="separate"/>
      </w:r>
      <w:r w:rsidR="00A96952">
        <w:t>4.3(7)</w:t>
      </w:r>
      <w:r w:rsidR="00E32585" w:rsidRPr="00A16372">
        <w:fldChar w:fldCharType="end"/>
      </w:r>
      <w:r w:rsidR="00E32585" w:rsidRPr="00A16372">
        <w:t xml:space="preserve">) </w:t>
      </w:r>
      <w:r w:rsidRPr="00A16372">
        <w:t>Zadávací dokumentace čestným prohlášením (dle vzoru uvedeného v Příloze 2.a) nebo</w:t>
      </w:r>
      <w:r w:rsidRPr="002A7BBE">
        <w:t xml:space="preserve"> jednotným evropským osvědčením pro veřejné zakázky podle § 87 ZZVZ</w:t>
      </w:r>
      <w:r w:rsidR="0060617F">
        <w:t>.</w:t>
      </w:r>
    </w:p>
    <w:p w14:paraId="788F3137" w14:textId="77777777" w:rsidR="00ED11D2" w:rsidRDefault="00ED11D2" w:rsidP="00ED11D2">
      <w:pPr>
        <w:pStyle w:val="Nadpis2"/>
      </w:pPr>
      <w:r>
        <w:t>P</w:t>
      </w:r>
      <w:r w:rsidRPr="00ED11D2">
        <w:t xml:space="preserve">rokázání splnění kvalifikace </w:t>
      </w:r>
      <w:r>
        <w:t>vybraným dodavatelem</w:t>
      </w:r>
      <w:r>
        <w:br/>
        <w:t>(před podpisem smlouvy)</w:t>
      </w:r>
    </w:p>
    <w:p w14:paraId="286001E5" w14:textId="77777777" w:rsidR="002C3344" w:rsidRDefault="002C3344" w:rsidP="002C3344">
      <w:pPr>
        <w:pStyle w:val="PFI-odstavec"/>
      </w:pPr>
      <w:r>
        <w:t xml:space="preserve">Vybraný dodavatel je před podpisem smlouvu povinen předložit originály či ověřené kopie dokladů o kvalifikaci podle bodů </w:t>
      </w:r>
    </w:p>
    <w:p w14:paraId="06356BDC" w14:textId="77777777" w:rsidR="002C3344" w:rsidRPr="00BE0DB1" w:rsidRDefault="002C3344" w:rsidP="002C3344">
      <w:pPr>
        <w:pStyle w:val="PFI-pismeno"/>
      </w:pPr>
      <w:r w:rsidRPr="00BE0DB1">
        <w:fldChar w:fldCharType="begin"/>
      </w:r>
      <w:r w:rsidRPr="00BE0DB1">
        <w:instrText xml:space="preserve"> REF _Ref490989481 \r \h  \* MERGEFORMAT </w:instrText>
      </w:r>
      <w:r w:rsidRPr="00BE0DB1">
        <w:fldChar w:fldCharType="separate"/>
      </w:r>
      <w:r w:rsidR="00A96952">
        <w:t>5.4</w:t>
      </w:r>
      <w:r w:rsidRPr="00BE0DB1">
        <w:fldChar w:fldCharType="end"/>
      </w:r>
      <w:r w:rsidRPr="00BE0DB1">
        <w:t xml:space="preserve"> - </w:t>
      </w:r>
      <w:r w:rsidRPr="00BE0DB1">
        <w:fldChar w:fldCharType="begin"/>
      </w:r>
      <w:r w:rsidRPr="00BE0DB1">
        <w:instrText xml:space="preserve"> REF _Ref490989481 \h  \* MERGEFORMAT </w:instrText>
      </w:r>
      <w:r w:rsidRPr="00BE0DB1">
        <w:fldChar w:fldCharType="separate"/>
      </w:r>
      <w:r w:rsidR="00A96952">
        <w:t>Základní způsobilost</w:t>
      </w:r>
      <w:r w:rsidRPr="00BE0DB1">
        <w:fldChar w:fldCharType="end"/>
      </w:r>
      <w:r w:rsidRPr="00BE0DB1">
        <w:t>,</w:t>
      </w:r>
    </w:p>
    <w:p w14:paraId="4A779D34" w14:textId="77777777" w:rsidR="002C3344" w:rsidRPr="00BE0DB1" w:rsidRDefault="002C3344" w:rsidP="002C3344">
      <w:pPr>
        <w:pStyle w:val="PFI-pismeno"/>
      </w:pPr>
      <w:r w:rsidRPr="00BE0DB1">
        <w:fldChar w:fldCharType="begin"/>
      </w:r>
      <w:r w:rsidRPr="00BE0DB1">
        <w:instrText xml:space="preserve"> REF _Ref464815469 \r \h  \* MERGEFORMAT </w:instrText>
      </w:r>
      <w:r w:rsidRPr="00BE0DB1">
        <w:fldChar w:fldCharType="separate"/>
      </w:r>
      <w:r w:rsidR="00A96952">
        <w:t>5.5</w:t>
      </w:r>
      <w:r w:rsidRPr="00BE0DB1">
        <w:fldChar w:fldCharType="end"/>
      </w:r>
      <w:r w:rsidRPr="00BE0DB1">
        <w:t xml:space="preserve"> - </w:t>
      </w:r>
      <w:r w:rsidRPr="00BE0DB1">
        <w:fldChar w:fldCharType="begin"/>
      </w:r>
      <w:r w:rsidRPr="00BE0DB1">
        <w:instrText xml:space="preserve"> REF _Ref464815469 \h  \* MERGEFORMAT </w:instrText>
      </w:r>
      <w:r w:rsidRPr="00BE0DB1">
        <w:fldChar w:fldCharType="separate"/>
      </w:r>
      <w:r w:rsidR="00A96952" w:rsidRPr="00CC4978">
        <w:t>Profesní způsobilost</w:t>
      </w:r>
      <w:r w:rsidRPr="00BE0DB1">
        <w:fldChar w:fldCharType="end"/>
      </w:r>
      <w:r w:rsidRPr="00BE0DB1">
        <w:t>,</w:t>
      </w:r>
    </w:p>
    <w:p w14:paraId="69D6BC43" w14:textId="77777777" w:rsidR="002C3344" w:rsidRPr="00BE0DB1" w:rsidRDefault="002C3344" w:rsidP="002C3344">
      <w:pPr>
        <w:pStyle w:val="PFI-pismeno"/>
      </w:pPr>
      <w:r w:rsidRPr="00BE0DB1">
        <w:fldChar w:fldCharType="begin"/>
      </w:r>
      <w:r w:rsidRPr="00BE0DB1">
        <w:instrText xml:space="preserve"> REF _Ref477438674 \r \h  \* MERGEFORMAT </w:instrText>
      </w:r>
      <w:r w:rsidRPr="00BE0DB1">
        <w:fldChar w:fldCharType="separate"/>
      </w:r>
      <w:r w:rsidR="00A96952">
        <w:t>5.6</w:t>
      </w:r>
      <w:r w:rsidRPr="00BE0DB1">
        <w:fldChar w:fldCharType="end"/>
      </w:r>
      <w:r w:rsidRPr="00BE0DB1">
        <w:t xml:space="preserve"> - </w:t>
      </w:r>
      <w:r w:rsidRPr="00BE0DB1">
        <w:fldChar w:fldCharType="begin"/>
      </w:r>
      <w:r w:rsidRPr="00BE0DB1">
        <w:instrText xml:space="preserve"> REF _Ref477438674 \h  \* MERGEFORMAT </w:instrText>
      </w:r>
      <w:r w:rsidRPr="00BE0DB1">
        <w:fldChar w:fldCharType="separate"/>
      </w:r>
      <w:r w:rsidR="00A96952" w:rsidRPr="0058588E">
        <w:t>Technická kvalifikace</w:t>
      </w:r>
      <w:r w:rsidRPr="00BE0DB1">
        <w:fldChar w:fldCharType="end"/>
      </w:r>
      <w:r w:rsidRPr="00BE0DB1">
        <w:t>,</w:t>
      </w:r>
    </w:p>
    <w:p w14:paraId="6E015784" w14:textId="77777777" w:rsidR="002C3344" w:rsidRPr="00ED11D2" w:rsidRDefault="002C3344" w:rsidP="002C3344">
      <w:pPr>
        <w:pStyle w:val="PFI-odstavec"/>
        <w:numPr>
          <w:ilvl w:val="0"/>
          <w:numId w:val="0"/>
        </w:numPr>
      </w:pPr>
      <w:r>
        <w:t xml:space="preserve">viz též bod </w:t>
      </w:r>
      <w:r>
        <w:fldChar w:fldCharType="begin"/>
      </w:r>
      <w:r>
        <w:instrText xml:space="preserve"> REF _Ref483462392 \w \h </w:instrText>
      </w:r>
      <w:r>
        <w:fldChar w:fldCharType="separate"/>
      </w:r>
      <w:r w:rsidR="00A96952">
        <w:t>10</w:t>
      </w:r>
      <w:r>
        <w:fldChar w:fldCharType="end"/>
      </w:r>
      <w:r>
        <w:t>.</w:t>
      </w:r>
    </w:p>
    <w:p w14:paraId="4487427D" w14:textId="77777777" w:rsidR="00ED11D2" w:rsidRDefault="00ED11D2" w:rsidP="00E32585">
      <w:pPr>
        <w:pStyle w:val="PFI-odstavec"/>
      </w:pPr>
      <w:r>
        <w:t xml:space="preserve">Pokud dodavatel předloží originály či ověřené kopie dokladů o kvalifikaci </w:t>
      </w:r>
      <w:r w:rsidR="00023CED">
        <w:t xml:space="preserve">již ve své </w:t>
      </w:r>
      <w:r w:rsidR="00023CED" w:rsidRPr="00A16372">
        <w:t xml:space="preserve">nabídce </w:t>
      </w:r>
      <w:r w:rsidRPr="00A16372">
        <w:t>a současně bude dodavatel vybrán pro plnění veřejné zakázky, nemusí tyto doklady</w:t>
      </w:r>
      <w:r>
        <w:t xml:space="preserve"> předkládat před podpisem smlouvy.</w:t>
      </w:r>
    </w:p>
    <w:p w14:paraId="140E7FAB" w14:textId="77777777" w:rsidR="00CC4978" w:rsidRDefault="00CC4978" w:rsidP="00994C19">
      <w:pPr>
        <w:pStyle w:val="Nadpis2"/>
      </w:pPr>
      <w:bookmarkStart w:id="44" w:name="_Ref490989481"/>
      <w:r>
        <w:t>Základní způsobilost</w:t>
      </w:r>
      <w:bookmarkEnd w:id="44"/>
    </w:p>
    <w:p w14:paraId="0B4476D3" w14:textId="77777777" w:rsidR="00812EDF" w:rsidRDefault="00812EDF" w:rsidP="00812EDF">
      <w:pPr>
        <w:pStyle w:val="Nadpis3"/>
      </w:pPr>
      <w:bookmarkStart w:id="45" w:name="_Ref464815561"/>
      <w:r>
        <w:t>Stanovené požadavky</w:t>
      </w:r>
      <w:bookmarkEnd w:id="45"/>
    </w:p>
    <w:p w14:paraId="5C8F3CDD" w14:textId="15BA3A36" w:rsidR="00CC4978" w:rsidRDefault="00CC4978" w:rsidP="00CC4978">
      <w:pPr>
        <w:pStyle w:val="PFI-odstavec"/>
      </w:pPr>
      <w:r>
        <w:t>Způsobilým není dodavatel, který</w:t>
      </w:r>
      <w:r w:rsidR="008F6AFA">
        <w:t>:</w:t>
      </w:r>
      <w:r>
        <w:t xml:space="preserve"> </w:t>
      </w:r>
    </w:p>
    <w:p w14:paraId="7E1EDDAC" w14:textId="77777777" w:rsidR="00CC4978" w:rsidRDefault="00CC4978" w:rsidP="00CC4978">
      <w:pPr>
        <w:pStyle w:val="PFI-pismeno"/>
      </w:pPr>
      <w: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14:paraId="012B0533" w14:textId="77777777" w:rsidR="00CC4978" w:rsidRDefault="00CC4978" w:rsidP="00CC4978">
      <w:pPr>
        <w:pStyle w:val="PFI-pismeno"/>
      </w:pPr>
      <w:r>
        <w:t xml:space="preserve">má v České republice nebo v zemi svého sídla v evidenci daní zachycen splatný daňový nedoplatek, </w:t>
      </w:r>
    </w:p>
    <w:p w14:paraId="6A7336CA" w14:textId="77777777" w:rsidR="00CC4978" w:rsidRDefault="00CC4978" w:rsidP="00CC4978">
      <w:pPr>
        <w:pStyle w:val="PFI-pismeno"/>
      </w:pPr>
      <w:r>
        <w:t xml:space="preserve">má v České republice nebo v zemi svého sídla splatný nedoplatek na pojistném nebo na penále na veřejné zdravotní pojištění, </w:t>
      </w:r>
    </w:p>
    <w:p w14:paraId="6109C53D" w14:textId="77777777" w:rsidR="00CC4978" w:rsidRDefault="00CC4978" w:rsidP="00CC4978">
      <w:pPr>
        <w:pStyle w:val="PFI-pismeno"/>
      </w:pPr>
      <w:r>
        <w:t>má v České republice nebo v zemi svého sídla splatný nedoplatek na pojistném nebo na penále na sociální zabezpečení a příspěvku na státní politiku zaměstnanosti,</w:t>
      </w:r>
    </w:p>
    <w:p w14:paraId="4EE0A301" w14:textId="77777777" w:rsidR="00CC4978" w:rsidRDefault="00CC4978" w:rsidP="00CC4978">
      <w:pPr>
        <w:pStyle w:val="PFI-pismeno"/>
      </w:pPr>
      <w:r>
        <w:lastRenderedPageBreak/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1ADA4225" w14:textId="77777777" w:rsidR="00CC4978" w:rsidRDefault="00CC4978" w:rsidP="00CC4978">
      <w:pPr>
        <w:pStyle w:val="PFI-odstavec"/>
      </w:pPr>
      <w:r>
        <w:t xml:space="preserve">Je-li dodavatelem právnická osoba, musí podmínku podle odstavce 1 písm. (a) splňovat tato právnická osoba a zároveň každý člen statutárního orgánu. Je-li členem statutárního orgánu dodavatele právnická osoba, musí podmínku podle odstavce 1 písm. (a) splňovat </w:t>
      </w:r>
    </w:p>
    <w:p w14:paraId="422844AE" w14:textId="77777777" w:rsidR="00CC4978" w:rsidRDefault="00CC4978" w:rsidP="00CC4978">
      <w:pPr>
        <w:pStyle w:val="PFI-pismeno"/>
      </w:pPr>
      <w:r>
        <w:t xml:space="preserve">tato právnická osoba, </w:t>
      </w:r>
    </w:p>
    <w:p w14:paraId="1DDFACBE" w14:textId="77777777" w:rsidR="00CC4978" w:rsidRDefault="00CC4978" w:rsidP="00CC4978">
      <w:pPr>
        <w:pStyle w:val="PFI-pismeno"/>
      </w:pPr>
      <w:r>
        <w:t>každý člen statutárního orgánu této právnické osoby a</w:t>
      </w:r>
    </w:p>
    <w:p w14:paraId="28F2AD39" w14:textId="77777777" w:rsidR="00CC4978" w:rsidRDefault="00CC4978" w:rsidP="00CC4978">
      <w:pPr>
        <w:pStyle w:val="PFI-pismeno"/>
      </w:pPr>
      <w:r>
        <w:t xml:space="preserve">osoba zastupující tuto právnickou osobu v statutárním orgánu dodavatele. </w:t>
      </w:r>
    </w:p>
    <w:p w14:paraId="00EC2007" w14:textId="77777777" w:rsidR="00CC4978" w:rsidRDefault="00CC4978" w:rsidP="00CC4978">
      <w:pPr>
        <w:pStyle w:val="PFI-odstavec"/>
      </w:pPr>
      <w:r>
        <w:t xml:space="preserve">Účastní-li se zadávacího řízení pobočka závodu </w:t>
      </w:r>
    </w:p>
    <w:p w14:paraId="7D95687B" w14:textId="77777777" w:rsidR="00CC4978" w:rsidRDefault="00CC4978" w:rsidP="00CC4978">
      <w:pPr>
        <w:pStyle w:val="PFI-pismeno"/>
      </w:pPr>
      <w:r>
        <w:t>zahraniční právnické osoby, musí podmínku podle odstavce 1 písm. (a) splňovat tato právnická osoba a vedoucí pobočky závodu,</w:t>
      </w:r>
    </w:p>
    <w:p w14:paraId="67D642E0" w14:textId="77777777" w:rsidR="00CC4978" w:rsidRDefault="00CC4978" w:rsidP="00CC4978">
      <w:pPr>
        <w:pStyle w:val="PFI-pismeno"/>
      </w:pPr>
      <w:r>
        <w:t>české právnické osoby, musí podmínku podle odstavce 1 písm. (a) splňovat osoby uvedené v odstavci (2) a vedoucí pobočky závodu.</w:t>
      </w:r>
    </w:p>
    <w:p w14:paraId="21D06B10" w14:textId="77777777" w:rsidR="00812EDF" w:rsidRDefault="00812EDF" w:rsidP="00812EDF">
      <w:pPr>
        <w:pStyle w:val="Nadpis3"/>
      </w:pPr>
      <w:r>
        <w:t>Způsob prokázání</w:t>
      </w:r>
    </w:p>
    <w:p w14:paraId="53A7F690" w14:textId="77777777" w:rsidR="001A1BBD" w:rsidRDefault="001A1BBD" w:rsidP="001A1BBD">
      <w:pPr>
        <w:pStyle w:val="PFI-odstavec"/>
      </w:pPr>
      <w:r>
        <w:t>Vybraný dodavatel prokazuje jako podmínku podpisu smlouvy splnění podmínek základní způsobilosti ve vztahu k České republice předložením</w:t>
      </w:r>
    </w:p>
    <w:p w14:paraId="6DAAE387" w14:textId="77777777" w:rsidR="001A1BBD" w:rsidRDefault="001A1BBD" w:rsidP="001A1BBD">
      <w:pPr>
        <w:pStyle w:val="PFI-pismeno"/>
      </w:pPr>
      <w:r>
        <w:t>výpisu z evidence Rejstříku trestů ve vztahu k § 74 odst. 1 písm. a),</w:t>
      </w:r>
    </w:p>
    <w:p w14:paraId="4FE79D7D" w14:textId="77777777" w:rsidR="001A1BBD" w:rsidRDefault="001A1BBD" w:rsidP="001A1BBD">
      <w:pPr>
        <w:pStyle w:val="PFI-pismeno"/>
      </w:pPr>
      <w:r>
        <w:t>potvrzení příslušného finančního úřadu ve vztahu k § 74 odst. 1 písm. b),</w:t>
      </w:r>
    </w:p>
    <w:p w14:paraId="0391B089" w14:textId="77777777" w:rsidR="001A1BBD" w:rsidRDefault="001A1BBD" w:rsidP="001A1BBD">
      <w:pPr>
        <w:pStyle w:val="PFI-pismeno"/>
      </w:pPr>
      <w:r>
        <w:t>písemného čestného prohlášení ve vztahu ke spotřební dani ve vztahu k § 74 odst. 1 písm. b),</w:t>
      </w:r>
    </w:p>
    <w:p w14:paraId="072E2F5F" w14:textId="77777777" w:rsidR="001A1BBD" w:rsidRDefault="001A1BBD" w:rsidP="001A1BBD">
      <w:pPr>
        <w:pStyle w:val="PFI-pismeno"/>
      </w:pPr>
      <w:r>
        <w:t>písemného čestného prohlášení ve vztahu k § 74 odst. 1 písm. c),</w:t>
      </w:r>
    </w:p>
    <w:p w14:paraId="11DBFA73" w14:textId="77777777" w:rsidR="001A1BBD" w:rsidRDefault="001A1BBD" w:rsidP="001A1BBD">
      <w:pPr>
        <w:pStyle w:val="PFI-pismeno"/>
      </w:pPr>
      <w:r>
        <w:t>potvrzení příslušné okresní správy sociálního zabezpečení ve vztahu k § 74 odst. 1 písm. d),</w:t>
      </w:r>
    </w:p>
    <w:p w14:paraId="3F23C453" w14:textId="77777777" w:rsidR="001A1BBD" w:rsidRDefault="001A1BBD" w:rsidP="001A1BBD">
      <w:pPr>
        <w:pStyle w:val="PFI-pismeno"/>
      </w:pPr>
      <w:r>
        <w:t>výpisu z obchodního rejstříku, nebo předložením písemného čestného prohlášení v případě, že není v obchodním rejstříku zapsán, ve vztahu k § 74 odst. 1 písm. e).</w:t>
      </w:r>
    </w:p>
    <w:p w14:paraId="5A2F86FB" w14:textId="77777777" w:rsidR="00CC4978" w:rsidRDefault="00CC4978" w:rsidP="00CC4978">
      <w:pPr>
        <w:pStyle w:val="Nadpis2"/>
      </w:pPr>
      <w:bookmarkStart w:id="46" w:name="_Ref464815469"/>
      <w:r w:rsidRPr="00CC4978">
        <w:t>Profesní způsobilost</w:t>
      </w:r>
      <w:bookmarkEnd w:id="46"/>
    </w:p>
    <w:p w14:paraId="6C5A3B6C" w14:textId="77777777" w:rsidR="00CC4978" w:rsidRDefault="00CC4978" w:rsidP="00CC4978">
      <w:pPr>
        <w:pStyle w:val="PFI-odstavec"/>
      </w:pPr>
      <w:bookmarkStart w:id="47" w:name="_Ref464712638"/>
      <w:r>
        <w:t>Dodavatel prokazuje splnění profesní způsobilosti ve vztahu k České republice předložením výpisu z obchodního rejstříku nebo jiné obdobné evidence, pokud jiný právní předpis zápis do takové evidence vyžaduje.</w:t>
      </w:r>
      <w:bookmarkEnd w:id="47"/>
    </w:p>
    <w:p w14:paraId="5CA6A22F" w14:textId="77777777" w:rsidR="00CC4978" w:rsidRPr="00CC4978" w:rsidRDefault="00D9399B" w:rsidP="00CC4978">
      <w:pPr>
        <w:pStyle w:val="PFI-odstavec"/>
      </w:pPr>
      <w:r>
        <w:t>Doklady podle odstavce</w:t>
      </w:r>
      <w:r w:rsidR="00CC4978">
        <w:t xml:space="preserve"> 1 dodavatel nemusí předložit, pokud právní předpisy v zemi jeho sídla obdobnou profesní způsobilost nevyžadují.</w:t>
      </w:r>
    </w:p>
    <w:p w14:paraId="7FA8B9F7" w14:textId="77777777" w:rsidR="0058588E" w:rsidRDefault="0058588E" w:rsidP="0058588E">
      <w:pPr>
        <w:pStyle w:val="Nadpis2"/>
      </w:pPr>
      <w:bookmarkStart w:id="48" w:name="_Ref477438674"/>
      <w:r w:rsidRPr="0058588E">
        <w:t>Technická kvalifikace</w:t>
      </w:r>
      <w:bookmarkEnd w:id="48"/>
    </w:p>
    <w:p w14:paraId="06F33138" w14:textId="77777777" w:rsidR="00DC1968" w:rsidRDefault="00DC1968" w:rsidP="00DC1968">
      <w:r>
        <w:t>K prokázání kritérií technické kvalifikace zadavatel požaduje</w:t>
      </w:r>
      <w:r w:rsidR="0086006F">
        <w:t>:</w:t>
      </w:r>
    </w:p>
    <w:p w14:paraId="3AB3E7D1" w14:textId="77777777" w:rsidR="00544A23" w:rsidRPr="00D9399B" w:rsidRDefault="007B5125" w:rsidP="00DC1968">
      <w:pPr>
        <w:pStyle w:val="PFI-odstavec"/>
      </w:pPr>
      <w:r w:rsidRPr="00D9399B">
        <w:rPr>
          <w:b/>
        </w:rPr>
        <w:t>S</w:t>
      </w:r>
      <w:r w:rsidR="00544A23" w:rsidRPr="00D9399B">
        <w:rPr>
          <w:b/>
        </w:rPr>
        <w:t>eznam významných dodávek nebo významných služeb</w:t>
      </w:r>
      <w:r w:rsidR="00544A23" w:rsidRPr="00D9399B">
        <w:t xml:space="preserve"> poskytnutých za poslední 3 roky před zahájením zadávacího řízení včetně uvedení ceny a doby jejich poskytnutí a identifikace objednatele</w:t>
      </w:r>
      <w:r w:rsidRPr="00D9399B">
        <w:t>:</w:t>
      </w:r>
    </w:p>
    <w:p w14:paraId="22D118CA" w14:textId="2B618D0B" w:rsidR="00544A23" w:rsidRDefault="00544A23" w:rsidP="00544A23">
      <w:r w:rsidRPr="00D9399B">
        <w:t xml:space="preserve">Významnou dodávkou </w:t>
      </w:r>
      <w:r w:rsidR="00D9399B" w:rsidRPr="00D9399B">
        <w:t xml:space="preserve">či </w:t>
      </w:r>
      <w:r w:rsidRPr="00D9399B">
        <w:t>službou (dále též referencí) se pro potřeby této Zadávací dokumentace</w:t>
      </w:r>
      <w:r>
        <w:t xml:space="preserve"> rozumí </w:t>
      </w:r>
      <w:r w:rsidR="00D04508">
        <w:t>reference obdobn</w:t>
      </w:r>
      <w:r w:rsidR="00D04508" w:rsidRPr="00731E5C">
        <w:t>á</w:t>
      </w:r>
      <w:r w:rsidR="00D04508">
        <w:t xml:space="preserve"> </w:t>
      </w:r>
      <w:r>
        <w:t>předmětu plnění veřejné zakázky</w:t>
      </w:r>
      <w:r w:rsidR="0082207A">
        <w:t>, tj.</w:t>
      </w:r>
    </w:p>
    <w:p w14:paraId="2201F872" w14:textId="491E7D2A" w:rsidR="00603C0A" w:rsidRDefault="00603C0A" w:rsidP="00603C0A">
      <w:pPr>
        <w:pStyle w:val="PFI-pismeno"/>
        <w:jc w:val="left"/>
      </w:pPr>
      <w:r>
        <w:lastRenderedPageBreak/>
        <w:t xml:space="preserve">vybudování nebo </w:t>
      </w:r>
      <w:r w:rsidR="00D7173F">
        <w:t xml:space="preserve">rozšíření </w:t>
      </w:r>
      <w:r>
        <w:t xml:space="preserve">virtualizovaného a vysoce dostupného diskového úložiště, každá </w:t>
      </w:r>
      <w:r w:rsidR="00D7173F">
        <w:t xml:space="preserve">zakázka </w:t>
      </w:r>
      <w:r>
        <w:t xml:space="preserve">v hodnotě min. </w:t>
      </w:r>
      <w:r w:rsidR="00D7173F">
        <w:t>500.000</w:t>
      </w:r>
      <w:r>
        <w:t xml:space="preserve"> Kč bez DPH,</w:t>
      </w:r>
    </w:p>
    <w:p w14:paraId="1FBFA388" w14:textId="11BF76DC" w:rsidR="00D7173F" w:rsidRPr="00D7173F" w:rsidRDefault="00D7173F" w:rsidP="00D7173F">
      <w:pPr>
        <w:pStyle w:val="PFI-pismeno"/>
      </w:pPr>
      <w:bookmarkStart w:id="49" w:name="OLE_LINK1"/>
      <w:bookmarkStart w:id="50" w:name="OLE_LINK2"/>
      <w:r w:rsidRPr="00D7173F">
        <w:t>dodávku a implemen</w:t>
      </w:r>
      <w:r>
        <w:t>tace nebo rozšíření</w:t>
      </w:r>
      <w:r w:rsidRPr="00D7173F">
        <w:t xml:space="preserve"> systému pro správu identit (IDM – Identity management) pro více než </w:t>
      </w:r>
      <w:r>
        <w:t>200</w:t>
      </w:r>
      <w:r w:rsidRPr="00D7173F">
        <w:t xml:space="preserve"> spravovaných identit, každá zakázka v hodnotě min. </w:t>
      </w:r>
      <w:r>
        <w:t>250</w:t>
      </w:r>
      <w:r w:rsidRPr="00D7173F">
        <w:t>.000,- Kč bez DPH</w:t>
      </w:r>
    </w:p>
    <w:p w14:paraId="46E9B6E9" w14:textId="4E2C424C" w:rsidR="00D7173F" w:rsidRDefault="00D7173F" w:rsidP="00603C0A">
      <w:pPr>
        <w:pStyle w:val="PFI-pismeno"/>
        <w:jc w:val="left"/>
      </w:pPr>
      <w:r>
        <w:t>dodávku elektronické úřední desky nebo obdobného řešení s napojením na interní informační systémy, každá v hodnotě min. 300.000 bez DPH</w:t>
      </w:r>
    </w:p>
    <w:bookmarkEnd w:id="49"/>
    <w:bookmarkEnd w:id="50"/>
    <w:p w14:paraId="7B774BCF" w14:textId="4C24CF5A" w:rsidR="00544A23" w:rsidRDefault="00544A23" w:rsidP="00C620F6">
      <w:r w:rsidRPr="00224B49">
        <w:t>Vyžaduje se předložení seznamu min.:</w:t>
      </w:r>
    </w:p>
    <w:p w14:paraId="3060209D" w14:textId="77777777" w:rsidR="00603C0A" w:rsidRPr="009B08F4" w:rsidRDefault="00603C0A" w:rsidP="00603C0A">
      <w:pPr>
        <w:pStyle w:val="PFI-pismeno"/>
        <w:numPr>
          <w:ilvl w:val="4"/>
          <w:numId w:val="38"/>
        </w:numPr>
        <w:jc w:val="left"/>
      </w:pPr>
      <w:r>
        <w:t>3</w:t>
      </w:r>
      <w:r w:rsidRPr="009B08F4">
        <w:t xml:space="preserve"> reference podle bodu (a),</w:t>
      </w:r>
    </w:p>
    <w:p w14:paraId="72CFFDE0" w14:textId="77777777" w:rsidR="00603C0A" w:rsidRPr="009B08F4" w:rsidRDefault="00603C0A" w:rsidP="00603C0A">
      <w:pPr>
        <w:pStyle w:val="PFI-pismeno"/>
        <w:jc w:val="left"/>
      </w:pPr>
      <w:r w:rsidRPr="009B08F4">
        <w:t>2 reference podle bodu (b),</w:t>
      </w:r>
    </w:p>
    <w:p w14:paraId="304B6839" w14:textId="6278A9A6" w:rsidR="00603C0A" w:rsidRPr="009B08F4" w:rsidRDefault="00D7173F" w:rsidP="00603C0A">
      <w:pPr>
        <w:pStyle w:val="PFI-pismeno"/>
        <w:jc w:val="left"/>
      </w:pPr>
      <w:r>
        <w:t>2</w:t>
      </w:r>
      <w:r w:rsidRPr="009B08F4">
        <w:t xml:space="preserve"> </w:t>
      </w:r>
      <w:r w:rsidR="00603C0A" w:rsidRPr="009B08F4">
        <w:t>reference podle bodu (c),</w:t>
      </w:r>
    </w:p>
    <w:p w14:paraId="05A9E6CE" w14:textId="77777777" w:rsidR="009217A5" w:rsidRPr="005558B1" w:rsidRDefault="009217A5" w:rsidP="009217A5">
      <w:r w:rsidRPr="008E7B62">
        <w:t>Pokud jedna konkrétní reference splňuje požadavky podle více uvedených kritérií, je možné jejím prostřednictví</w:t>
      </w:r>
      <w:r w:rsidR="00E8413C" w:rsidRPr="008E7B62">
        <w:t>m</w:t>
      </w:r>
      <w:r w:rsidRPr="008E7B62">
        <w:t xml:space="preserve"> prokazovat splnění kritérií technické kvalifikace podle všech kritérií, které reference splňuje.</w:t>
      </w:r>
    </w:p>
    <w:p w14:paraId="62082F98" w14:textId="4CAA5943" w:rsidR="00083EF4" w:rsidRDefault="00083EF4" w:rsidP="00083EF4">
      <w:r>
        <w:t xml:space="preserve">Splnění výše uvedených kritérií kvalifikace </w:t>
      </w:r>
      <w:r w:rsidRPr="0008030B">
        <w:t xml:space="preserve">musí vyplývat </w:t>
      </w:r>
      <w:r w:rsidR="002B14DB">
        <w:t xml:space="preserve">ze </w:t>
      </w:r>
      <w:r w:rsidRPr="0008030B">
        <w:t>specifikací referencí uvedených v</w:t>
      </w:r>
      <w:r>
        <w:t> </w:t>
      </w:r>
      <w:r w:rsidRPr="0008030B">
        <w:t>seznamu</w:t>
      </w:r>
      <w:r>
        <w:t>.</w:t>
      </w:r>
    </w:p>
    <w:p w14:paraId="6F16D459" w14:textId="77777777" w:rsidR="00436C84" w:rsidRDefault="00436C84" w:rsidP="00436C84">
      <w:r>
        <w:t xml:space="preserve">Dodavatel </w:t>
      </w:r>
      <w:r w:rsidRPr="005F38E4">
        <w:t>v seznamu referen</w:t>
      </w:r>
      <w:r>
        <w:t>c</w:t>
      </w:r>
      <w:r w:rsidRPr="005F38E4">
        <w:t>í</w:t>
      </w:r>
      <w:r>
        <w:t xml:space="preserve"> </w:t>
      </w:r>
      <w:r w:rsidRPr="005F38E4">
        <w:t xml:space="preserve">uvede kontakty na osoby objednatele, u kterých může zadavatel </w:t>
      </w:r>
      <w:r>
        <w:t xml:space="preserve">dodavatelem </w:t>
      </w:r>
      <w:r w:rsidRPr="005F38E4">
        <w:t>uvedené informace ověřit.</w:t>
      </w:r>
    </w:p>
    <w:p w14:paraId="59DD5D61" w14:textId="77777777" w:rsidR="00436C84" w:rsidRDefault="00436C84" w:rsidP="00436C84">
      <w:r>
        <w:t>U</w:t>
      </w:r>
      <w:r w:rsidRPr="005F38E4">
        <w:t xml:space="preserve"> </w:t>
      </w:r>
      <w:r>
        <w:t>referencí</w:t>
      </w:r>
      <w:r w:rsidRPr="005F38E4">
        <w:t xml:space="preserve">, u kterých nebude subjekt prokazující kvalifikaci </w:t>
      </w:r>
      <w:r>
        <w:t xml:space="preserve">(tj. dodavatel či poddodavatel) </w:t>
      </w:r>
      <w:r w:rsidRPr="005F38E4">
        <w:t>v pozici generálního dodavatele zakázky, musí být součást</w:t>
      </w:r>
      <w:r>
        <w:t>í</w:t>
      </w:r>
      <w:r w:rsidRPr="005F38E4">
        <w:t xml:space="preserve"> osvědčení </w:t>
      </w:r>
      <w:r>
        <w:t xml:space="preserve">objednatele či seznamu referencí </w:t>
      </w:r>
      <w:r w:rsidRPr="005F38E4">
        <w:t xml:space="preserve">také vyjádření podílu </w:t>
      </w:r>
      <w:r>
        <w:t xml:space="preserve">subjektu (a to hodnotu i předmět) </w:t>
      </w:r>
      <w:r w:rsidRPr="005F38E4">
        <w:t xml:space="preserve">na realizaci zakázky, přičemž jako referenci lze uznat pouze hodnotu </w:t>
      </w:r>
      <w:r>
        <w:t>a předmět</w:t>
      </w:r>
      <w:r w:rsidRPr="005F38E4">
        <w:t xml:space="preserve"> </w:t>
      </w:r>
      <w:r>
        <w:t xml:space="preserve">vlastního </w:t>
      </w:r>
      <w:r w:rsidRPr="005F38E4">
        <w:t xml:space="preserve">podílu </w:t>
      </w:r>
      <w:r>
        <w:t xml:space="preserve">subjektu </w:t>
      </w:r>
      <w:r w:rsidRPr="005F38E4">
        <w:t xml:space="preserve">na realizaci </w:t>
      </w:r>
      <w:r>
        <w:t xml:space="preserve">takové </w:t>
      </w:r>
      <w:r w:rsidRPr="005F38E4">
        <w:t>reference.</w:t>
      </w:r>
    </w:p>
    <w:p w14:paraId="1C54469B" w14:textId="77777777" w:rsidR="00DC1968" w:rsidRDefault="0086006F" w:rsidP="00DC1968">
      <w:pPr>
        <w:pStyle w:val="PFI-odstavec"/>
      </w:pPr>
      <w:r w:rsidRPr="007B5125">
        <w:rPr>
          <w:b/>
        </w:rPr>
        <w:t>O</w:t>
      </w:r>
      <w:r w:rsidR="00DC1968" w:rsidRPr="007B5125">
        <w:rPr>
          <w:b/>
        </w:rPr>
        <w:t>svědčení o vzdělání a odborné kvalifikaci</w:t>
      </w:r>
      <w:r w:rsidR="00DC1968">
        <w:t xml:space="preserve"> vztahující se k</w:t>
      </w:r>
      <w:r w:rsidR="006E7CC8">
        <w:t> předmětu veřejné zakázky</w:t>
      </w:r>
      <w:r w:rsidR="00DC1968">
        <w:t xml:space="preserve">, a to jak ve vztahu k fyzickým osobám, které mohou </w:t>
      </w:r>
      <w:r w:rsidR="006E7CC8">
        <w:t xml:space="preserve">předmět veřejné zakázky </w:t>
      </w:r>
      <w:r w:rsidR="00DC1968">
        <w:t>poskytovat, tak ve vztah</w:t>
      </w:r>
      <w:r w:rsidR="007B5125">
        <w:t>u k jejich vedoucím pracovníkům:</w:t>
      </w:r>
    </w:p>
    <w:p w14:paraId="68255F27" w14:textId="6178F3AB" w:rsidR="007B5125" w:rsidRDefault="007B5125" w:rsidP="007B5125">
      <w:r w:rsidRPr="007B5125">
        <w:t xml:space="preserve">Pro plnění veřejné zakázky se vyžaduje </w:t>
      </w:r>
      <w:r w:rsidRPr="008E7B62">
        <w:t xml:space="preserve">sestavení </w:t>
      </w:r>
      <w:r w:rsidR="008E7B62" w:rsidRPr="008E7B62">
        <w:t xml:space="preserve">minimálně </w:t>
      </w:r>
      <w:r w:rsidR="001B36FF">
        <w:t>7</w:t>
      </w:r>
      <w:r w:rsidR="001B36FF" w:rsidRPr="008E7B62">
        <w:t xml:space="preserve"> </w:t>
      </w:r>
      <w:r w:rsidR="001A6CBD" w:rsidRPr="008E7B62">
        <w:t>osob</w:t>
      </w:r>
      <w:r w:rsidR="001A6CBD">
        <w:t xml:space="preserve"> – členů realizačního </w:t>
      </w:r>
      <w:r w:rsidRPr="007B5125">
        <w:t>týmu, přičemž musí být obsazeny následující pozice a splněny následující požadavky na členy týmu i jednotlivé pozice</w:t>
      </w:r>
      <w:r w:rsidR="00F22911">
        <w:t xml:space="preserve"> (1 člen týmu může zastávat max. 2 pozice)</w:t>
      </w:r>
      <w:r w:rsidRPr="007B5125">
        <w:t>:</w:t>
      </w:r>
    </w:p>
    <w:p w14:paraId="74D5E73F" w14:textId="77777777" w:rsidR="008E7B62" w:rsidRPr="00CA5FC9" w:rsidRDefault="008E7B62" w:rsidP="008E7B62">
      <w:pPr>
        <w:pStyle w:val="PFI-pismeno"/>
      </w:pPr>
      <w:r w:rsidRPr="00CA5FC9">
        <w:rPr>
          <w:b/>
        </w:rPr>
        <w:t>projektový manažer</w:t>
      </w:r>
    </w:p>
    <w:p w14:paraId="16062DA4" w14:textId="77777777" w:rsidR="008E7B62" w:rsidRPr="008E7B62" w:rsidRDefault="008E7B62" w:rsidP="008E7B62">
      <w:pPr>
        <w:pStyle w:val="PFI-pismeno"/>
        <w:numPr>
          <w:ilvl w:val="0"/>
          <w:numId w:val="0"/>
        </w:numPr>
        <w:ind w:left="680"/>
        <w:rPr>
          <w:rFonts w:ascii="Times New Roman" w:hAnsi="Times New Roman"/>
        </w:rPr>
      </w:pPr>
      <w:r w:rsidRPr="000A31EF">
        <w:t>na pozici jsou kladeny následující minimální požadavky:</w:t>
      </w:r>
    </w:p>
    <w:p w14:paraId="6AFC75B9" w14:textId="77777777" w:rsidR="00AF10EE" w:rsidRPr="009B08F4" w:rsidRDefault="00AF10EE" w:rsidP="00AF10EE">
      <w:pPr>
        <w:pStyle w:val="PFI-msk"/>
      </w:pPr>
      <w:r w:rsidRPr="009B08F4">
        <w:t xml:space="preserve">3 referenční projekty v oblasti informačních technologií, na kterých se podílel v obdobné pozici, ve výši minimálně 2 mil. Kč bez DPH za každý jednotlivý projekt; </w:t>
      </w:r>
    </w:p>
    <w:p w14:paraId="09FC7C49" w14:textId="54666DDB" w:rsidR="008E7B62" w:rsidRPr="00CA5FC9" w:rsidRDefault="008E7B62" w:rsidP="008E7B62">
      <w:pPr>
        <w:pStyle w:val="PFI-pismeno"/>
      </w:pPr>
      <w:r w:rsidRPr="00CA5FC9">
        <w:rPr>
          <w:b/>
        </w:rPr>
        <w:t xml:space="preserve">technický specialista </w:t>
      </w:r>
      <w:r w:rsidR="00023132" w:rsidRPr="00CA5FC9">
        <w:rPr>
          <w:b/>
        </w:rPr>
        <w:t>hardware</w:t>
      </w:r>
    </w:p>
    <w:p w14:paraId="7540E19D" w14:textId="7C0DE356" w:rsidR="002D031D" w:rsidRPr="002D031D" w:rsidRDefault="008E7B62" w:rsidP="002D031D">
      <w:pPr>
        <w:pStyle w:val="PFI-pismeno"/>
        <w:numPr>
          <w:ilvl w:val="0"/>
          <w:numId w:val="0"/>
        </w:numPr>
        <w:ind w:left="680"/>
        <w:rPr>
          <w:rFonts w:ascii="Times New Roman" w:hAnsi="Times New Roman"/>
        </w:rPr>
      </w:pPr>
      <w:r w:rsidRPr="000A31EF">
        <w:t>na pozici jsou kladeny následující minimální požadavky:</w:t>
      </w:r>
    </w:p>
    <w:p w14:paraId="0C529CAD" w14:textId="77777777" w:rsidR="00AF10EE" w:rsidRDefault="00AF10EE" w:rsidP="00AF10EE">
      <w:pPr>
        <w:pStyle w:val="PFI-msk"/>
      </w:pPr>
      <w:r w:rsidRPr="009B08F4">
        <w:t xml:space="preserve">2 referenční projekty obdobného zaměření jako předmět veřejné zakázky, na kterých se podílel v obdobné pozici, </w:t>
      </w:r>
    </w:p>
    <w:p w14:paraId="72EE8FA8" w14:textId="77777777" w:rsidR="007A4FE9" w:rsidRDefault="007A4FE9" w:rsidP="007A4FE9">
      <w:pPr>
        <w:pStyle w:val="PFI-msk"/>
        <w:jc w:val="left"/>
      </w:pPr>
      <w:r w:rsidRPr="009B08F4">
        <w:t>prokázání dosažení technické certifikace implementaci a servis nabízeného serverového hardware;</w:t>
      </w:r>
    </w:p>
    <w:p w14:paraId="41593134" w14:textId="32EDA478" w:rsidR="0070272F" w:rsidRPr="00CA5FC9" w:rsidRDefault="0070272F" w:rsidP="0070272F">
      <w:pPr>
        <w:pStyle w:val="PFI-pismeno"/>
        <w:rPr>
          <w:b/>
        </w:rPr>
      </w:pPr>
      <w:r w:rsidRPr="00CA5FC9">
        <w:rPr>
          <w:b/>
        </w:rPr>
        <w:t xml:space="preserve">technický specialista </w:t>
      </w:r>
      <w:r w:rsidR="00AF10EE" w:rsidRPr="00CA5FC9">
        <w:rPr>
          <w:b/>
        </w:rPr>
        <w:t>software</w:t>
      </w:r>
    </w:p>
    <w:p w14:paraId="15C16FA2" w14:textId="77777777" w:rsidR="0070272F" w:rsidRDefault="0070272F" w:rsidP="0070272F">
      <w:pPr>
        <w:pStyle w:val="PFI-pismeno"/>
        <w:numPr>
          <w:ilvl w:val="0"/>
          <w:numId w:val="0"/>
        </w:numPr>
        <w:ind w:left="680"/>
        <w:rPr>
          <w:rFonts w:ascii="Times New Roman" w:hAnsi="Times New Roman"/>
        </w:rPr>
      </w:pPr>
      <w:r w:rsidRPr="000A31EF">
        <w:lastRenderedPageBreak/>
        <w:t>na pozici jsou kladeny následující minimální požadavky:</w:t>
      </w:r>
      <w:r w:rsidRPr="008E7B62">
        <w:rPr>
          <w:rFonts w:ascii="Times New Roman" w:hAnsi="Times New Roman"/>
        </w:rPr>
        <w:t xml:space="preserve"> </w:t>
      </w:r>
    </w:p>
    <w:p w14:paraId="30CB7CFB" w14:textId="77777777" w:rsidR="00AF10EE" w:rsidRDefault="00AF10EE" w:rsidP="00AF10EE">
      <w:pPr>
        <w:pStyle w:val="PFI-msk"/>
      </w:pPr>
      <w:r w:rsidRPr="00C15814">
        <w:t xml:space="preserve">2 referenční projekty obdobného zaměření jako předmět veřejné zakázky, na kterých se podílel v obdobné pozici, </w:t>
      </w:r>
    </w:p>
    <w:p w14:paraId="09866847" w14:textId="28705BAE" w:rsidR="00AF10EE" w:rsidRDefault="00AF10EE" w:rsidP="00AF10EE">
      <w:pPr>
        <w:pStyle w:val="PFI-msk"/>
      </w:pPr>
      <w:r w:rsidRPr="00C15814">
        <w:t>prokázání dosažení technické certifikace na správu a n</w:t>
      </w:r>
      <w:r>
        <w:t>á</w:t>
      </w:r>
      <w:r w:rsidRPr="00C15814">
        <w:t xml:space="preserve">vrh designu </w:t>
      </w:r>
      <w:r w:rsidR="00CA5FC9">
        <w:t xml:space="preserve">stávajícího prostředí zadavatele, tj. </w:t>
      </w:r>
      <w:r w:rsidRPr="00C15814">
        <w:t>platformy Microsoft</w:t>
      </w:r>
      <w:r w:rsidR="00CA5FC9">
        <w:t>, a to</w:t>
      </w:r>
      <w:r w:rsidRPr="00C15814">
        <w:t xml:space="preserve"> min. v úrovni MCSE (Microsoft Certified System Engineer nebo Microsoft Certified Solutions Expert)</w:t>
      </w:r>
      <w:r>
        <w:t>;</w:t>
      </w:r>
    </w:p>
    <w:p w14:paraId="22F3E55E" w14:textId="77777777" w:rsidR="001B36FF" w:rsidRPr="00CA5FC9" w:rsidRDefault="00ED6B2C" w:rsidP="00ED6B2C">
      <w:pPr>
        <w:pStyle w:val="PFI-pismeno"/>
        <w:rPr>
          <w:b/>
        </w:rPr>
      </w:pPr>
      <w:r w:rsidRPr="00CA5FC9">
        <w:rPr>
          <w:b/>
        </w:rPr>
        <w:t xml:space="preserve">technický specialista IDM: </w:t>
      </w:r>
    </w:p>
    <w:p w14:paraId="11055175" w14:textId="43538E2A" w:rsidR="00ED6B2C" w:rsidRPr="009B08F4" w:rsidRDefault="00ED6B2C">
      <w:pPr>
        <w:pStyle w:val="PFI-msk"/>
      </w:pPr>
      <w:r w:rsidRPr="00ED6B2C">
        <w:t>minimálně tři referenční projekty obdobného zaměření jako předmět veřejné zakázky, na kterých se podílel v obdobné pozici</w:t>
      </w:r>
    </w:p>
    <w:p w14:paraId="287ED21C" w14:textId="03F61CA5" w:rsidR="008E7B62" w:rsidRPr="00CA5FC9" w:rsidRDefault="008E7B62" w:rsidP="008E7B62">
      <w:pPr>
        <w:pStyle w:val="PFI-pismeno"/>
        <w:rPr>
          <w:b/>
        </w:rPr>
      </w:pPr>
      <w:r w:rsidRPr="00CA5FC9">
        <w:rPr>
          <w:b/>
        </w:rPr>
        <w:t xml:space="preserve">technický specialista </w:t>
      </w:r>
      <w:r w:rsidR="007A4FE9" w:rsidRPr="009B08F4">
        <w:rPr>
          <w:b/>
        </w:rPr>
        <w:t>serverové virtualizace</w:t>
      </w:r>
    </w:p>
    <w:p w14:paraId="0820187C" w14:textId="77777777" w:rsidR="008E7B62" w:rsidRPr="008E7B62" w:rsidRDefault="008E7B62" w:rsidP="002D031D">
      <w:pPr>
        <w:pStyle w:val="PFI-pismeno"/>
        <w:numPr>
          <w:ilvl w:val="0"/>
          <w:numId w:val="0"/>
        </w:numPr>
        <w:ind w:left="680"/>
        <w:rPr>
          <w:rFonts w:ascii="Times New Roman" w:hAnsi="Times New Roman"/>
        </w:rPr>
      </w:pPr>
      <w:r w:rsidRPr="000A31EF">
        <w:t>na pozici jsou kladeny následující minimální požadavky:</w:t>
      </w:r>
    </w:p>
    <w:p w14:paraId="406B32FC" w14:textId="77777777" w:rsidR="00AF10EE" w:rsidRDefault="00AF10EE" w:rsidP="00AF10EE">
      <w:pPr>
        <w:pStyle w:val="PFI-msk"/>
      </w:pPr>
      <w:r>
        <w:t xml:space="preserve">3 </w:t>
      </w:r>
      <w:r w:rsidRPr="009B08F4">
        <w:t>referenční projekty obdobného zaměření jako předmět veřejné zakázky, na kterých se podílel v obdobné pozici</w:t>
      </w:r>
      <w:r>
        <w:t>,</w:t>
      </w:r>
    </w:p>
    <w:p w14:paraId="53C5778B" w14:textId="7979DA67" w:rsidR="007A4FE9" w:rsidRPr="009B08F4" w:rsidRDefault="007A4FE9" w:rsidP="00CA5FC9">
      <w:pPr>
        <w:pStyle w:val="PFI-msk"/>
      </w:pPr>
      <w:r w:rsidRPr="009B08F4">
        <w:t xml:space="preserve">prokázání dosažení certifikace pro návrh a implementaci </w:t>
      </w:r>
      <w:r w:rsidR="00ED6B2C">
        <w:t xml:space="preserve">stávající </w:t>
      </w:r>
      <w:r w:rsidRPr="009B08F4">
        <w:t>serverové virtualizace</w:t>
      </w:r>
      <w:r>
        <w:t>;</w:t>
      </w:r>
      <w:r w:rsidRPr="00B0517A">
        <w:t xml:space="preserve"> </w:t>
      </w:r>
    </w:p>
    <w:p w14:paraId="275A2E6A" w14:textId="7D23667A" w:rsidR="00AF10EE" w:rsidRPr="009B08F4" w:rsidRDefault="00AF10EE" w:rsidP="00AF10EE">
      <w:pPr>
        <w:pStyle w:val="PFI-pismeno"/>
      </w:pPr>
      <w:r w:rsidRPr="00CA5FC9">
        <w:rPr>
          <w:b/>
        </w:rPr>
        <w:t xml:space="preserve">technický specialista </w:t>
      </w:r>
      <w:r w:rsidR="00816E81">
        <w:rPr>
          <w:b/>
        </w:rPr>
        <w:t>aplikační</w:t>
      </w:r>
      <w:r w:rsidR="00816E81" w:rsidRPr="009B08F4">
        <w:rPr>
          <w:b/>
        </w:rPr>
        <w:t xml:space="preserve"> virtualizace</w:t>
      </w:r>
      <w:r w:rsidRPr="00CA5FC9">
        <w:rPr>
          <w:b/>
        </w:rPr>
        <w:br/>
      </w:r>
      <w:r w:rsidRPr="009B08F4">
        <w:t>na pozici jsou kladeny následující minimální požadavky:</w:t>
      </w:r>
    </w:p>
    <w:p w14:paraId="221503DD" w14:textId="77777777" w:rsidR="00816E81" w:rsidRDefault="00816E81" w:rsidP="004E226B">
      <w:pPr>
        <w:pStyle w:val="PFI-msk"/>
      </w:pPr>
      <w:r>
        <w:t xml:space="preserve">3 </w:t>
      </w:r>
      <w:r w:rsidRPr="009B08F4">
        <w:t>referenční projekty obdobného zaměření jako předmět veřejné zakázky, na kterých se podílel v obdobné pozici</w:t>
      </w:r>
      <w:r>
        <w:t>,</w:t>
      </w:r>
    </w:p>
    <w:p w14:paraId="1B41F8CC" w14:textId="1CCBCAE5" w:rsidR="00816E81" w:rsidRPr="009B08F4" w:rsidRDefault="00816E81" w:rsidP="00CA5FC9">
      <w:pPr>
        <w:pStyle w:val="PFI-msk"/>
      </w:pPr>
      <w:r w:rsidRPr="009B08F4">
        <w:t xml:space="preserve">prokázání dosažení certifikace pro návrh a implementaci </w:t>
      </w:r>
      <w:r w:rsidR="00ED6B2C">
        <w:t xml:space="preserve">stávající </w:t>
      </w:r>
      <w:r w:rsidRPr="009B08F4">
        <w:t>aplikační virtualizace</w:t>
      </w:r>
      <w:r>
        <w:t>,</w:t>
      </w:r>
      <w:r w:rsidRPr="00B0517A">
        <w:t xml:space="preserve"> </w:t>
      </w:r>
    </w:p>
    <w:p w14:paraId="274E4F04" w14:textId="50B5FE1A" w:rsidR="00AF10EE" w:rsidRPr="00BB49A5" w:rsidRDefault="00AF10EE" w:rsidP="00AF10EE">
      <w:pPr>
        <w:pStyle w:val="PFI-pismeno"/>
      </w:pPr>
      <w:r w:rsidRPr="00BB49A5">
        <w:rPr>
          <w:b/>
        </w:rPr>
        <w:t xml:space="preserve">technický specialista </w:t>
      </w:r>
      <w:r w:rsidR="005B3A37" w:rsidRPr="00C15814">
        <w:rPr>
          <w:b/>
        </w:rPr>
        <w:t>d</w:t>
      </w:r>
      <w:r w:rsidR="005B3A37">
        <w:rPr>
          <w:b/>
        </w:rPr>
        <w:t>iskových</w:t>
      </w:r>
      <w:r w:rsidR="005B3A37" w:rsidRPr="00C15814">
        <w:rPr>
          <w:b/>
        </w:rPr>
        <w:t xml:space="preserve"> úložišť</w:t>
      </w:r>
      <w:r w:rsidRPr="00CA5FC9">
        <w:rPr>
          <w:b/>
        </w:rPr>
        <w:br/>
      </w:r>
      <w:r w:rsidRPr="00BB49A5">
        <w:t>na pozici jsou kladeny následující minimální požadavky:</w:t>
      </w:r>
    </w:p>
    <w:p w14:paraId="2D2E65BF" w14:textId="77777777" w:rsidR="005B3A37" w:rsidRDefault="005B3A37" w:rsidP="004E226B">
      <w:pPr>
        <w:pStyle w:val="PFI-msk"/>
      </w:pPr>
      <w:r>
        <w:t xml:space="preserve">3 </w:t>
      </w:r>
      <w:r w:rsidRPr="00C15814">
        <w:t xml:space="preserve">referenční projekty obdobného zaměření jako předmět veřejné zakázky, na kterých se podílel v obdobné pozici, </w:t>
      </w:r>
    </w:p>
    <w:p w14:paraId="6802232E" w14:textId="77777777" w:rsidR="005B3A37" w:rsidRPr="009B08F4" w:rsidRDefault="005B3A37" w:rsidP="004E226B">
      <w:pPr>
        <w:pStyle w:val="PFI-msk"/>
      </w:pPr>
      <w:r w:rsidRPr="00C15814">
        <w:t>prokázání dosažení certifikace pro návrh a imple</w:t>
      </w:r>
      <w:r>
        <w:t>mentaci nabízených diskových</w:t>
      </w:r>
      <w:r w:rsidRPr="00C15814">
        <w:t xml:space="preserve"> </w:t>
      </w:r>
      <w:r>
        <w:t>úložišť;</w:t>
      </w:r>
      <w:r w:rsidRPr="00D531DC">
        <w:t xml:space="preserve"> </w:t>
      </w:r>
    </w:p>
    <w:p w14:paraId="7833723F" w14:textId="77777777" w:rsidR="00F96985" w:rsidRPr="009C3974" w:rsidRDefault="00F96985" w:rsidP="004E226B">
      <w:pPr>
        <w:pStyle w:val="PFI-pismeno"/>
      </w:pPr>
      <w:r w:rsidRPr="009C3974">
        <w:rPr>
          <w:b/>
        </w:rPr>
        <w:t>technický specialista sítí</w:t>
      </w:r>
      <w:r w:rsidRPr="004E226B">
        <w:rPr>
          <w:b/>
        </w:rPr>
        <w:t>;</w:t>
      </w:r>
      <w:r w:rsidRPr="009C3974">
        <w:br/>
        <w:t>na pozici jsou kladeny následující minimální požadavky:</w:t>
      </w:r>
    </w:p>
    <w:p w14:paraId="68B2C1C3" w14:textId="77777777" w:rsidR="00F96985" w:rsidRPr="009C3974" w:rsidRDefault="00F96985" w:rsidP="004E226B">
      <w:pPr>
        <w:pStyle w:val="PFI-msk"/>
      </w:pPr>
      <w:r w:rsidRPr="009C3974">
        <w:t xml:space="preserve">3 referenční projekty obdobného zaměření jako předmět veřejné zakázky, na kterých se podílel v obdobné pozici, </w:t>
      </w:r>
    </w:p>
    <w:p w14:paraId="75EFA32A" w14:textId="6C1388F0" w:rsidR="00AF10EE" w:rsidRPr="009B08F4" w:rsidRDefault="00F96985" w:rsidP="00843753">
      <w:pPr>
        <w:pStyle w:val="PFI-msk"/>
      </w:pPr>
      <w:r w:rsidRPr="009C3974">
        <w:t xml:space="preserve">prokázání dosažení certifikace pro návrh a implementaci nabízených síťových prvků; </w:t>
      </w:r>
    </w:p>
    <w:p w14:paraId="35B227CD" w14:textId="77777777" w:rsidR="007B5125" w:rsidRPr="007D08D8" w:rsidRDefault="007B5125" w:rsidP="007B5125">
      <w:r w:rsidRPr="007D08D8">
        <w:t>Zadavatel dále požaduje, aby výše uvedené pozice byly obsazeny osobami schopnými komunikovat v českém jazyce, případně aby osobě, která takové komunikace není schopna, zabezpečil v rámci svých nákladů tlumočníka.</w:t>
      </w:r>
    </w:p>
    <w:p w14:paraId="0EADB838" w14:textId="77777777" w:rsidR="007B5125" w:rsidRPr="007B5125" w:rsidRDefault="007B5125" w:rsidP="007B5125">
      <w:r w:rsidRPr="007D08D8">
        <w:t xml:space="preserve">Požadované skutečnosti doloží </w:t>
      </w:r>
      <w:r w:rsidR="0084141E" w:rsidRPr="007D08D8">
        <w:t>dodavatel</w:t>
      </w:r>
      <w:r w:rsidRPr="007D08D8">
        <w:t xml:space="preserve"> strukturovanými profesními životopisy jednotlivých členů týmu včetně jejich čestného prohlášení o pravdivosti údajů v životopise obsažených podepsaných těmito členy týmu. Pokud je pro danou pozici vyžadováno prokázání určitého vzdělání, certifikace či profesní způsobilosti, jako</w:t>
      </w:r>
      <w:r w:rsidRPr="007B5125">
        <w:t xml:space="preserve"> přílohu strukturovaného profesního životopisu daného člena týmu </w:t>
      </w:r>
      <w:r w:rsidR="0084141E" w:rsidRPr="0084141E">
        <w:t xml:space="preserve">dodavatel </w:t>
      </w:r>
      <w:r w:rsidRPr="007B5125">
        <w:t xml:space="preserve">předloží doklady o vzdělání (VŠ diplom nebo maturitní vysvědčení), </w:t>
      </w:r>
      <w:r w:rsidRPr="007B5125">
        <w:lastRenderedPageBreak/>
        <w:t xml:space="preserve">certifikáty nebo obdobná osvědčení či doklady </w:t>
      </w:r>
      <w:r w:rsidR="006E7CC8">
        <w:t xml:space="preserve">vzdělání či </w:t>
      </w:r>
      <w:r w:rsidRPr="007B5125">
        <w:t xml:space="preserve">o </w:t>
      </w:r>
      <w:r w:rsidR="006E7CC8">
        <w:t>odborné kvalifikaci</w:t>
      </w:r>
      <w:r w:rsidRPr="007B5125">
        <w:t>, a to alespoň v rozsahu uvede</w:t>
      </w:r>
      <w:r w:rsidR="00ED3051">
        <w:t>ném</w:t>
      </w:r>
      <w:r w:rsidR="006E7CC8">
        <w:t xml:space="preserve"> u každé pozice.</w:t>
      </w:r>
    </w:p>
    <w:p w14:paraId="39810087" w14:textId="77777777" w:rsidR="007B5125" w:rsidRPr="007B5125" w:rsidRDefault="007B5125" w:rsidP="007B5125">
      <w:r w:rsidRPr="007B5125">
        <w:t>Strukturované životopisy musí obsahovat minimálně následující údaje:</w:t>
      </w:r>
    </w:p>
    <w:p w14:paraId="24FE2020" w14:textId="77777777" w:rsidR="007B5125" w:rsidRPr="007B5125" w:rsidRDefault="007B5125" w:rsidP="00564DE3">
      <w:pPr>
        <w:numPr>
          <w:ilvl w:val="0"/>
          <w:numId w:val="15"/>
        </w:numPr>
      </w:pPr>
      <w:r w:rsidRPr="007B5125">
        <w:t>Jména a příjmení člena týmu</w:t>
      </w:r>
    </w:p>
    <w:p w14:paraId="44232060" w14:textId="77777777" w:rsidR="007B5125" w:rsidRPr="007B5125" w:rsidRDefault="007B5125" w:rsidP="00564DE3">
      <w:pPr>
        <w:numPr>
          <w:ilvl w:val="0"/>
          <w:numId w:val="15"/>
        </w:numPr>
      </w:pPr>
      <w:r w:rsidRPr="007B5125">
        <w:t>Funkci při plnění veřejné zakázky</w:t>
      </w:r>
    </w:p>
    <w:p w14:paraId="129DD7EC" w14:textId="77777777" w:rsidR="007B5125" w:rsidRPr="007B5125" w:rsidRDefault="007B5125" w:rsidP="0084141E">
      <w:pPr>
        <w:numPr>
          <w:ilvl w:val="0"/>
          <w:numId w:val="15"/>
        </w:numPr>
      </w:pPr>
      <w:r w:rsidRPr="007B5125">
        <w:t>Pracovně-právní vztah k </w:t>
      </w:r>
      <w:r w:rsidR="0084141E">
        <w:t>dodavatel</w:t>
      </w:r>
      <w:r w:rsidRPr="007B5125">
        <w:t>i (</w:t>
      </w:r>
      <w:r w:rsidRPr="007B5125">
        <w:rPr>
          <w:i/>
        </w:rPr>
        <w:t xml:space="preserve">V případě, že člen týmu nemá s </w:t>
      </w:r>
      <w:r w:rsidR="0084141E">
        <w:rPr>
          <w:i/>
        </w:rPr>
        <w:t>dodavatel</w:t>
      </w:r>
      <w:r w:rsidRPr="007B5125">
        <w:rPr>
          <w:i/>
        </w:rPr>
        <w:t xml:space="preserve">em uzavřen pracovně-právní vztah, musí doložit doklady jako </w:t>
      </w:r>
      <w:r w:rsidR="006E7CC8">
        <w:rPr>
          <w:i/>
        </w:rPr>
        <w:t xml:space="preserve">poddodavatel – </w:t>
      </w:r>
      <w:r w:rsidR="006E7CC8" w:rsidRPr="006E7CC8">
        <w:rPr>
          <w:i/>
        </w:rPr>
        <w:t xml:space="preserve">viz též bod </w:t>
      </w:r>
      <w:r w:rsidR="006E7CC8" w:rsidRPr="006E7CC8">
        <w:rPr>
          <w:i/>
        </w:rPr>
        <w:fldChar w:fldCharType="begin"/>
      </w:r>
      <w:r w:rsidR="006E7CC8" w:rsidRPr="006E7CC8">
        <w:rPr>
          <w:i/>
        </w:rPr>
        <w:instrText xml:space="preserve"> REF _Ref464818314 \n \h  \* MERGEFORMAT </w:instrText>
      </w:r>
      <w:r w:rsidR="006E7CC8" w:rsidRPr="006E7CC8">
        <w:rPr>
          <w:i/>
        </w:rPr>
      </w:r>
      <w:r w:rsidR="006E7CC8" w:rsidRPr="006E7CC8">
        <w:rPr>
          <w:i/>
        </w:rPr>
        <w:fldChar w:fldCharType="separate"/>
      </w:r>
      <w:r w:rsidR="00A96952">
        <w:rPr>
          <w:i/>
        </w:rPr>
        <w:t>5.7.2</w:t>
      </w:r>
      <w:r w:rsidR="006E7CC8" w:rsidRPr="006E7CC8">
        <w:rPr>
          <w:i/>
        </w:rPr>
        <w:fldChar w:fldCharType="end"/>
      </w:r>
      <w:r w:rsidRPr="007B5125">
        <w:t>)</w:t>
      </w:r>
    </w:p>
    <w:p w14:paraId="4C71326E" w14:textId="77777777" w:rsidR="007B5125" w:rsidRPr="007B5125" w:rsidRDefault="007B5125" w:rsidP="00564DE3">
      <w:pPr>
        <w:numPr>
          <w:ilvl w:val="0"/>
          <w:numId w:val="15"/>
        </w:numPr>
      </w:pPr>
      <w:r w:rsidRPr="007B5125">
        <w:t>Dosažené vzdělání</w:t>
      </w:r>
    </w:p>
    <w:p w14:paraId="2DA87A8E" w14:textId="77777777" w:rsidR="007B5125" w:rsidRPr="007B5125" w:rsidRDefault="007B5125" w:rsidP="00564DE3">
      <w:pPr>
        <w:numPr>
          <w:ilvl w:val="0"/>
          <w:numId w:val="15"/>
        </w:numPr>
      </w:pPr>
      <w:r w:rsidRPr="007B5125">
        <w:t xml:space="preserve">Délku odborné praxe relevantní k funkci v týmu a k vykonávaným činnostem </w:t>
      </w:r>
    </w:p>
    <w:p w14:paraId="33727633" w14:textId="77777777" w:rsidR="007B5125" w:rsidRPr="007B5125" w:rsidRDefault="007B5125" w:rsidP="00564DE3">
      <w:pPr>
        <w:numPr>
          <w:ilvl w:val="0"/>
          <w:numId w:val="15"/>
        </w:numPr>
      </w:pPr>
      <w:r w:rsidRPr="007B5125">
        <w:t>Relevantní významné a ověřitelné služby, na kterých se člen podílel včetně popisu role a vykonávaných aktivit a kontaktních údajů k ověření</w:t>
      </w:r>
    </w:p>
    <w:p w14:paraId="492D497C" w14:textId="77777777" w:rsidR="007B5125" w:rsidRPr="007B5125" w:rsidRDefault="007B5125" w:rsidP="00564DE3">
      <w:pPr>
        <w:numPr>
          <w:ilvl w:val="0"/>
          <w:numId w:val="15"/>
        </w:numPr>
      </w:pPr>
      <w:r w:rsidRPr="007B5125">
        <w:t>Přehled certifikátů nebo osvědčení</w:t>
      </w:r>
    </w:p>
    <w:p w14:paraId="6968F468" w14:textId="77777777" w:rsidR="007B5125" w:rsidRPr="007B5125" w:rsidRDefault="007B5125" w:rsidP="00564DE3">
      <w:pPr>
        <w:numPr>
          <w:ilvl w:val="0"/>
          <w:numId w:val="15"/>
        </w:numPr>
      </w:pPr>
      <w:r w:rsidRPr="007B5125">
        <w:t>Vlastnoruční podpis člena týmu</w:t>
      </w:r>
    </w:p>
    <w:p w14:paraId="572FEE17" w14:textId="0C2654F5" w:rsidR="00EB28CA" w:rsidRDefault="007B5125" w:rsidP="00843753">
      <w:r w:rsidRPr="007B5125">
        <w:t>Členové týmu budou tvořit realizační tým, který bude odpovědný za plnění této veřejné zakázky. Změny členů týmu budou možné pouze po předchozím schválení zadavatelem</w:t>
      </w:r>
      <w:r w:rsidR="005239D2">
        <w:t>, a to osobami splňujícími pro nahrazovanou pozici alespoň výše uvedené požadavky</w:t>
      </w:r>
      <w:r w:rsidRPr="007B5125">
        <w:t>.</w:t>
      </w:r>
    </w:p>
    <w:p w14:paraId="2201F463" w14:textId="77777777" w:rsidR="009B4CDD" w:rsidRDefault="009B4CDD" w:rsidP="009B4CDD">
      <w:pPr>
        <w:pStyle w:val="Nadpis2"/>
      </w:pPr>
      <w:bookmarkStart w:id="51" w:name="_Ref233094156"/>
      <w:r w:rsidRPr="009B4CDD">
        <w:t>Společná ustanovení ke kvalifikaci</w:t>
      </w:r>
    </w:p>
    <w:p w14:paraId="400946B1" w14:textId="77777777" w:rsidR="009B4CDD" w:rsidRDefault="009B4CDD" w:rsidP="009B4CDD">
      <w:pPr>
        <w:pStyle w:val="Nadpis3"/>
      </w:pPr>
      <w:r>
        <w:t>Kvalifikace v případě společné účasti dodavatelů</w:t>
      </w:r>
    </w:p>
    <w:p w14:paraId="3EE9CE24" w14:textId="77777777" w:rsidR="009B4CDD" w:rsidRDefault="009B4CDD" w:rsidP="009B4CDD">
      <w:r>
        <w:t>V případě společné účasti dodavatelů prokazuje základní způsobilost a profesní způsobilost podle</w:t>
      </w:r>
      <w:r w:rsidR="000435E6">
        <w:t xml:space="preserve"> bodu </w:t>
      </w:r>
      <w:r w:rsidR="00824312">
        <w:fldChar w:fldCharType="begin"/>
      </w:r>
      <w:r w:rsidR="00824312">
        <w:instrText xml:space="preserve"> REF _Ref464815469 \r \h </w:instrText>
      </w:r>
      <w:r w:rsidR="00824312">
        <w:fldChar w:fldCharType="separate"/>
      </w:r>
      <w:r w:rsidR="00A96952">
        <w:t>5.5</w:t>
      </w:r>
      <w:r w:rsidR="00824312">
        <w:fldChar w:fldCharType="end"/>
      </w:r>
      <w:r w:rsidR="00824312">
        <w:t xml:space="preserve"> </w:t>
      </w:r>
      <w:r w:rsidR="000435E6">
        <w:t xml:space="preserve">odst. </w:t>
      </w:r>
      <w:r w:rsidR="000435E6">
        <w:fldChar w:fldCharType="begin"/>
      </w:r>
      <w:r w:rsidR="000435E6">
        <w:instrText xml:space="preserve"> REF _Ref464712638 \n \h </w:instrText>
      </w:r>
      <w:r w:rsidR="000435E6">
        <w:fldChar w:fldCharType="separate"/>
      </w:r>
      <w:r w:rsidR="00A96952">
        <w:t>(1)</w:t>
      </w:r>
      <w:r w:rsidR="000435E6">
        <w:fldChar w:fldCharType="end"/>
      </w:r>
      <w:r>
        <w:t xml:space="preserve"> </w:t>
      </w:r>
      <w:r w:rsidR="000435E6">
        <w:t xml:space="preserve">(resp. </w:t>
      </w:r>
      <w:r>
        <w:t xml:space="preserve">§ 77 odst. 1 </w:t>
      </w:r>
      <w:r w:rsidR="000435E6">
        <w:t xml:space="preserve">ZZVZ) </w:t>
      </w:r>
      <w:r>
        <w:t>každý dodavatel samostatně.</w:t>
      </w:r>
    </w:p>
    <w:p w14:paraId="2A960CC0" w14:textId="77777777" w:rsidR="009B4CDD" w:rsidRDefault="009B4CDD" w:rsidP="009B4CDD">
      <w:pPr>
        <w:pStyle w:val="Nadpis3"/>
      </w:pPr>
      <w:bookmarkStart w:id="52" w:name="_Ref464818314"/>
      <w:r>
        <w:t>Prokázání kvalifikace prostřednictvím jiných osob</w:t>
      </w:r>
      <w:r w:rsidR="00915769">
        <w:t xml:space="preserve"> (poddodavatelů)</w:t>
      </w:r>
      <w:bookmarkEnd w:id="52"/>
    </w:p>
    <w:p w14:paraId="5973FB23" w14:textId="77777777" w:rsidR="009B4CDD" w:rsidRDefault="009B4CDD" w:rsidP="00915769">
      <w:pPr>
        <w:pStyle w:val="PFI-odstavec"/>
      </w:pPr>
      <w:r>
        <w:t xml:space="preserve">Dodavatel může prokázat určitou část technické kvalifikace nebo profesní způsobilosti s výjimkou kritéria </w:t>
      </w:r>
      <w:r w:rsidR="00915769">
        <w:t xml:space="preserve">podle bodu </w:t>
      </w:r>
      <w:r w:rsidR="00067B92">
        <w:fldChar w:fldCharType="begin"/>
      </w:r>
      <w:r w:rsidR="00067B92">
        <w:instrText xml:space="preserve"> REF _Ref464815469 \r \h </w:instrText>
      </w:r>
      <w:r w:rsidR="00067B92">
        <w:fldChar w:fldCharType="separate"/>
      </w:r>
      <w:r w:rsidR="00A96952">
        <w:t>5.5</w:t>
      </w:r>
      <w:r w:rsidR="00067B92">
        <w:fldChar w:fldCharType="end"/>
      </w:r>
      <w:r w:rsidR="00915769">
        <w:t xml:space="preserve"> odst. </w:t>
      </w:r>
      <w:r w:rsidR="00915769">
        <w:fldChar w:fldCharType="begin"/>
      </w:r>
      <w:r w:rsidR="00915769">
        <w:instrText xml:space="preserve"> REF _Ref464712638 \n \h </w:instrText>
      </w:r>
      <w:r w:rsidR="00915769">
        <w:fldChar w:fldCharType="separate"/>
      </w:r>
      <w:r w:rsidR="00A96952">
        <w:t>(1)</w:t>
      </w:r>
      <w:r w:rsidR="00915769">
        <w:fldChar w:fldCharType="end"/>
      </w:r>
      <w:r w:rsidR="00915769">
        <w:t xml:space="preserve"> (resp. § 77 odst. 1 ZZVZ) </w:t>
      </w:r>
      <w:r>
        <w:t>požadované zadavatelem prostřednictvím jiných osob. Dodavatel je v takovém případě povinen zadavateli předložit</w:t>
      </w:r>
    </w:p>
    <w:p w14:paraId="5176624D" w14:textId="77777777" w:rsidR="009B4CDD" w:rsidRDefault="009B4CDD" w:rsidP="009B4CDD">
      <w:pPr>
        <w:pStyle w:val="PFI-pismeno"/>
      </w:pPr>
      <w:r>
        <w:t xml:space="preserve">doklady prokazující splnění profesní způsobilosti </w:t>
      </w:r>
      <w:r w:rsidR="00915769">
        <w:t xml:space="preserve">podle bodu </w:t>
      </w:r>
      <w:r w:rsidR="00067B92">
        <w:fldChar w:fldCharType="begin"/>
      </w:r>
      <w:r w:rsidR="00067B92">
        <w:instrText xml:space="preserve"> REF _Ref464815469 \r \h </w:instrText>
      </w:r>
      <w:r w:rsidR="00067B92">
        <w:fldChar w:fldCharType="separate"/>
      </w:r>
      <w:r w:rsidR="00A96952">
        <w:t>5.5</w:t>
      </w:r>
      <w:r w:rsidR="00067B92">
        <w:fldChar w:fldCharType="end"/>
      </w:r>
      <w:r w:rsidR="00915769">
        <w:t xml:space="preserve"> odst. </w:t>
      </w:r>
      <w:r w:rsidR="00915769">
        <w:fldChar w:fldCharType="begin"/>
      </w:r>
      <w:r w:rsidR="00915769">
        <w:instrText xml:space="preserve"> REF _Ref464712638 \n \h </w:instrText>
      </w:r>
      <w:r w:rsidR="00915769">
        <w:fldChar w:fldCharType="separate"/>
      </w:r>
      <w:r w:rsidR="00A96952">
        <w:t>(1)</w:t>
      </w:r>
      <w:r w:rsidR="00915769">
        <w:fldChar w:fldCharType="end"/>
      </w:r>
      <w:r w:rsidR="00915769">
        <w:t xml:space="preserve"> (resp. § 77 odst. 1 ZZVZ) </w:t>
      </w:r>
      <w:r>
        <w:t>jinou osobou,</w:t>
      </w:r>
    </w:p>
    <w:p w14:paraId="45A61617" w14:textId="77777777" w:rsidR="009B4CDD" w:rsidRDefault="009B4CDD" w:rsidP="009B4CDD">
      <w:pPr>
        <w:pStyle w:val="PFI-pismeno"/>
      </w:pPr>
      <w:r>
        <w:t>doklady prokazující splnění chybějící části kvalifikace prostřednictvím jiné osoby,</w:t>
      </w:r>
    </w:p>
    <w:p w14:paraId="0FAA3C56" w14:textId="77777777" w:rsidR="009B4CDD" w:rsidRDefault="009B4CDD" w:rsidP="009B4CDD">
      <w:pPr>
        <w:pStyle w:val="PFI-pismeno"/>
      </w:pPr>
      <w:r>
        <w:t>doklady o splnění základní způsobilosti podle § 74 ZZVZ jinou osobou a</w:t>
      </w:r>
    </w:p>
    <w:p w14:paraId="10D969C4" w14:textId="77777777" w:rsidR="009B4CDD" w:rsidRDefault="009B4CDD" w:rsidP="009B4CDD">
      <w:pPr>
        <w:pStyle w:val="PFI-pismeno"/>
      </w:pPr>
      <w:r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</w:p>
    <w:p w14:paraId="7FBB325B" w14:textId="77777777" w:rsidR="009B4CDD" w:rsidRPr="00BA5FB9" w:rsidRDefault="009B4CDD" w:rsidP="009B4CDD">
      <w:pPr>
        <w:pStyle w:val="PFI-odstavec"/>
      </w:pPr>
      <w:r w:rsidRPr="00BA5FB9">
        <w:t>Má se za to, že požadavek podle odstavce (1) písm. (d)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ZZVZ vztahující se k takové osobě, musí dokument podle odstavce 1 písm. d) obsahovat závazek, že jiná osoba bude vykonávat stavební práce či služby, ke kterým se prokazované kritérium kvalifikace vztahuje.</w:t>
      </w:r>
    </w:p>
    <w:p w14:paraId="4B87C911" w14:textId="77777777" w:rsidR="009B4CDD" w:rsidRDefault="009B4CDD" w:rsidP="00915769">
      <w:pPr>
        <w:pStyle w:val="Nadpis3"/>
      </w:pPr>
      <w:r>
        <w:lastRenderedPageBreak/>
        <w:t>Změny kvalifikace účastníka zadávacího řízení</w:t>
      </w:r>
    </w:p>
    <w:p w14:paraId="33395C54" w14:textId="77777777" w:rsidR="009B4CDD" w:rsidRDefault="009B4CDD" w:rsidP="009B4CDD">
      <w:pPr>
        <w:pStyle w:val="PFI-odstavec"/>
      </w:pPr>
      <w:r>
        <w:t xml:space="preserve"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 </w:t>
      </w:r>
    </w:p>
    <w:p w14:paraId="3A97E379" w14:textId="77777777" w:rsidR="009B4CDD" w:rsidRDefault="009B4CDD" w:rsidP="00915769">
      <w:pPr>
        <w:pStyle w:val="PFI-pismeno"/>
      </w:pPr>
      <w:r>
        <w:t>podmínky kvalifikace jsou nadále splněny,</w:t>
      </w:r>
    </w:p>
    <w:p w14:paraId="6FFE7471" w14:textId="77777777" w:rsidR="009B4CDD" w:rsidRDefault="009B4CDD" w:rsidP="00915769">
      <w:pPr>
        <w:pStyle w:val="PFI-pismeno"/>
      </w:pPr>
      <w:r>
        <w:t>nedošlo k ovlivnění kritérií pro snížení počtu účastníků zadávacího řízení nebo nabídek a</w:t>
      </w:r>
    </w:p>
    <w:p w14:paraId="0FC60AF0" w14:textId="77777777" w:rsidR="009B4CDD" w:rsidRDefault="009B4CDD" w:rsidP="00915769">
      <w:pPr>
        <w:pStyle w:val="PFI-pismeno"/>
      </w:pPr>
      <w:r>
        <w:t>nedošlo k ovlivnění kritérií hodnocení nabídek.</w:t>
      </w:r>
    </w:p>
    <w:p w14:paraId="3B9E64A4" w14:textId="77777777" w:rsidR="009B4CDD" w:rsidRPr="009B4CDD" w:rsidRDefault="009B4CDD" w:rsidP="009B4CDD">
      <w:pPr>
        <w:pStyle w:val="PFI-odstavec"/>
      </w:pPr>
      <w:r>
        <w:t>Dozví-li se zadavatel, že dodavatel nesplnil povinnost uvedenou v odstavci 1, zadavatel jej bezodkladně vyloučí ze zadávacího řízení.</w:t>
      </w:r>
    </w:p>
    <w:bookmarkEnd w:id="51"/>
    <w:p w14:paraId="4687BE0C" w14:textId="77777777" w:rsidR="00D221BD" w:rsidRDefault="00D221BD" w:rsidP="00EA2B0A">
      <w:pPr>
        <w:pStyle w:val="Nadpis3"/>
      </w:pPr>
      <w:r>
        <w:t>Prokazování kvalifikace získané v zahraničí</w:t>
      </w:r>
    </w:p>
    <w:p w14:paraId="60929D5C" w14:textId="77777777" w:rsidR="00D221BD" w:rsidRDefault="00D221BD" w:rsidP="00D221BD">
      <w:r>
        <w:t>V případě, že byla kvalifikace získána v zahraničí, prokazuje se doklady vydanými podle právního řádu země, ve které byla získána, a to v rozsahu požadovaném zadavatelem.</w:t>
      </w:r>
    </w:p>
    <w:p w14:paraId="73ABCBCE" w14:textId="77777777" w:rsidR="00B754CF" w:rsidRPr="00E76AA6" w:rsidRDefault="00B754CF" w:rsidP="00B334FF">
      <w:pPr>
        <w:pStyle w:val="Nadpis1"/>
      </w:pPr>
      <w:bookmarkStart w:id="53" w:name="_Toc477447832"/>
      <w:r w:rsidRPr="00E76AA6">
        <w:t xml:space="preserve">Další podmínky </w:t>
      </w:r>
      <w:r w:rsidRPr="00B334FF">
        <w:t>zadávacího</w:t>
      </w:r>
      <w:r w:rsidRPr="00E76AA6">
        <w:t xml:space="preserve"> řízení</w:t>
      </w:r>
      <w:bookmarkEnd w:id="53"/>
    </w:p>
    <w:p w14:paraId="20B68191" w14:textId="77777777" w:rsidR="00EA073B" w:rsidRPr="001060B7" w:rsidRDefault="00EA073B" w:rsidP="00B334FF">
      <w:pPr>
        <w:pStyle w:val="PFI-odstavec"/>
      </w:pPr>
      <w:r w:rsidRPr="001060B7">
        <w:t>Zadavatel si vyhrazuje právo nerealizovat předmět veřejné zakázky v případě, že nebudou zajištěny potřebné finanční zdroje, a to jak k zakázce jako celku, tak případně i jen k části předmětu zakázky.</w:t>
      </w:r>
    </w:p>
    <w:p w14:paraId="14956887" w14:textId="77777777" w:rsidR="00B754CF" w:rsidRPr="00B334FF" w:rsidRDefault="00B754CF" w:rsidP="00B334FF">
      <w:pPr>
        <w:pStyle w:val="PFI-odstavec"/>
      </w:pPr>
      <w:r w:rsidRPr="00B334FF">
        <w:t>Zadavatel si vyhrazuje právo změny, upřesnění či doplnění zadávací dokumentace.</w:t>
      </w:r>
    </w:p>
    <w:p w14:paraId="42D7B625" w14:textId="77777777" w:rsidR="00AA3597" w:rsidRPr="00B334FF" w:rsidRDefault="00B754CF" w:rsidP="0036380B">
      <w:pPr>
        <w:pStyle w:val="PFI-odstavec"/>
      </w:pPr>
      <w:r w:rsidRPr="00B334FF">
        <w:t xml:space="preserve">Nabídky, kopie nabídek ani jednotlivé součásti hodnocených nabídek </w:t>
      </w:r>
      <w:r w:rsidR="0036380B">
        <w:t>dodavatel</w:t>
      </w:r>
      <w:r w:rsidRPr="00B334FF">
        <w:t xml:space="preserve">ů nebo vyloučených </w:t>
      </w:r>
      <w:r w:rsidR="0036380B">
        <w:t>dodavatel</w:t>
      </w:r>
      <w:r w:rsidR="0036380B" w:rsidRPr="00B334FF">
        <w:t xml:space="preserve">ů </w:t>
      </w:r>
      <w:r w:rsidRPr="00B334FF">
        <w:t>nebudou vráceny</w:t>
      </w:r>
      <w:r w:rsidR="00AA3597" w:rsidRPr="00B334FF">
        <w:t>.</w:t>
      </w:r>
      <w:r w:rsidR="006C3251">
        <w:t xml:space="preserve"> </w:t>
      </w:r>
    </w:p>
    <w:p w14:paraId="68737EA2" w14:textId="77777777" w:rsidR="00B754CF" w:rsidRPr="00B334FF" w:rsidRDefault="00B754CF" w:rsidP="0036380B">
      <w:pPr>
        <w:pStyle w:val="PFI-odstavec"/>
      </w:pPr>
      <w:r w:rsidRPr="00B334FF">
        <w:t xml:space="preserve">Podáním nabídky </w:t>
      </w:r>
      <w:r w:rsidR="0036380B" w:rsidRPr="0036380B">
        <w:t xml:space="preserve">dodavatel </w:t>
      </w:r>
      <w:r w:rsidRPr="00B334FF">
        <w:t>souhlasí se zadávacími podmínkami této veřejné zakázky</w:t>
      </w:r>
      <w:r w:rsidR="00C57D2F" w:rsidRPr="00B334FF">
        <w:t xml:space="preserve"> a bezvýhradně souhlasí se zveřejněním smlouvy v souladu s platnými právními předpisy.</w:t>
      </w:r>
    </w:p>
    <w:p w14:paraId="31CDFAD9" w14:textId="77777777" w:rsidR="0036023F" w:rsidRPr="00A16372" w:rsidRDefault="004B2DE6" w:rsidP="00E2214C">
      <w:pPr>
        <w:pStyle w:val="Nadpis1"/>
      </w:pPr>
      <w:bookmarkStart w:id="54" w:name="_Toc159843942"/>
      <w:bookmarkStart w:id="55" w:name="_Toc477447833"/>
      <w:r w:rsidRPr="00A16372">
        <w:t>P</w:t>
      </w:r>
      <w:r w:rsidR="00C22252" w:rsidRPr="00A16372">
        <w:t>říprava a p</w:t>
      </w:r>
      <w:r w:rsidRPr="00A16372">
        <w:t>odání</w:t>
      </w:r>
      <w:r w:rsidR="0036023F" w:rsidRPr="00A16372">
        <w:t xml:space="preserve"> nabídek</w:t>
      </w:r>
      <w:bookmarkEnd w:id="54"/>
      <w:bookmarkEnd w:id="55"/>
    </w:p>
    <w:p w14:paraId="461D232F" w14:textId="77777777" w:rsidR="004B2DE6" w:rsidRPr="00A16372" w:rsidRDefault="004B2DE6" w:rsidP="00DB2D32">
      <w:pPr>
        <w:pStyle w:val="Nadpis2"/>
      </w:pPr>
      <w:bookmarkStart w:id="56" w:name="_Ref162670415"/>
      <w:r w:rsidRPr="00A16372">
        <w:t>Lhůta pro podání nabídek</w:t>
      </w:r>
      <w:bookmarkEnd w:id="56"/>
    </w:p>
    <w:p w14:paraId="66DB9F6F" w14:textId="77777777" w:rsidR="0036023F" w:rsidRPr="00E76AA6" w:rsidRDefault="0036023F" w:rsidP="004672EC">
      <w:pPr>
        <w:pStyle w:val="PFI-odstavec"/>
      </w:pPr>
      <w:bookmarkStart w:id="57" w:name="_Ref471202827"/>
      <w:r w:rsidRPr="00E76AA6">
        <w:t xml:space="preserve">Lhůtou pro </w:t>
      </w:r>
      <w:r w:rsidRPr="00DB2D32">
        <w:t>podání</w:t>
      </w:r>
      <w:r w:rsidRPr="00E76AA6">
        <w:t xml:space="preserve"> nabídek se rozumí lhůta, v</w:t>
      </w:r>
      <w:r w:rsidR="00CC5862" w:rsidRPr="00E76AA6">
        <w:t>e které lze nabídky podávat</w:t>
      </w:r>
      <w:r w:rsidRPr="00E76AA6">
        <w:t>.</w:t>
      </w:r>
      <w:bookmarkEnd w:id="57"/>
    </w:p>
    <w:p w14:paraId="12804B9B" w14:textId="2D24E9E1" w:rsidR="00D5420E" w:rsidRPr="00DB2D32" w:rsidRDefault="00D5420E" w:rsidP="00415902">
      <w:pPr>
        <w:numPr>
          <w:ilvl w:val="0"/>
          <w:numId w:val="9"/>
        </w:numPr>
        <w:rPr>
          <w:b/>
        </w:rPr>
      </w:pPr>
      <w:r w:rsidRPr="00DB2D32">
        <w:rPr>
          <w:b/>
        </w:rPr>
        <w:t xml:space="preserve">Lhůta pro podání nabídek končí </w:t>
      </w:r>
      <w:bookmarkStart w:id="58" w:name="_GoBack"/>
      <w:bookmarkEnd w:id="58"/>
      <w:r w:rsidR="00415902" w:rsidRPr="00415902">
        <w:rPr>
          <w:b/>
        </w:rPr>
        <w:t xml:space="preserve">27.08.2018 </w:t>
      </w:r>
      <w:r w:rsidR="00415902">
        <w:rPr>
          <w:b/>
        </w:rPr>
        <w:t xml:space="preserve">ve </w:t>
      </w:r>
      <w:r w:rsidR="00415902" w:rsidRPr="00415902">
        <w:rPr>
          <w:b/>
        </w:rPr>
        <w:t>13:00</w:t>
      </w:r>
      <w:r w:rsidR="00415902">
        <w:rPr>
          <w:b/>
        </w:rPr>
        <w:t xml:space="preserve"> hodin</w:t>
      </w:r>
      <w:r w:rsidRPr="00DB2D32">
        <w:rPr>
          <w:b/>
        </w:rPr>
        <w:t>.</w:t>
      </w:r>
    </w:p>
    <w:p w14:paraId="5EE12A76" w14:textId="77777777" w:rsidR="0036023F" w:rsidRPr="00E76AA6" w:rsidRDefault="0036023F" w:rsidP="00E264C7">
      <w:pPr>
        <w:pStyle w:val="PFI-odstavec"/>
      </w:pPr>
      <w:r w:rsidRPr="00E76AA6">
        <w:t xml:space="preserve">Nabídka </w:t>
      </w:r>
      <w:r w:rsidRPr="00E264C7">
        <w:t>je</w:t>
      </w:r>
      <w:r w:rsidRPr="00E76AA6">
        <w:t xml:space="preserve"> doručena včas, pokud je v rámci lhůty pro podání nabídek doručena do místa pro podání nabídek.</w:t>
      </w:r>
    </w:p>
    <w:p w14:paraId="7F26D0B2" w14:textId="77777777" w:rsidR="00B40ED4" w:rsidRPr="007360B6" w:rsidRDefault="00E264C7" w:rsidP="007360B6">
      <w:pPr>
        <w:pStyle w:val="PFI-odstavec"/>
      </w:pPr>
      <w:bookmarkStart w:id="59" w:name="_Ref162670438"/>
      <w:r w:rsidRPr="007360B6">
        <w:t>Pokud nebyla nabídka zadavateli doručena ve lhůtě nebo způsobem stanoveným v Zadávací dokumentaci, nepovažuje se za podanou a v průběhu zadávacího řízení se k ní nepřihlíží.</w:t>
      </w:r>
      <w:bookmarkEnd w:id="59"/>
    </w:p>
    <w:p w14:paraId="0F214915" w14:textId="77777777" w:rsidR="004B2DE6" w:rsidRPr="00A16372" w:rsidRDefault="004B2DE6" w:rsidP="00E264C7">
      <w:pPr>
        <w:pStyle w:val="Nadpis2"/>
      </w:pPr>
      <w:bookmarkStart w:id="60" w:name="_Toc159843943"/>
      <w:r w:rsidRPr="00A16372">
        <w:t>Místo pro podání nabídek</w:t>
      </w:r>
    </w:p>
    <w:p w14:paraId="0AFD6D65" w14:textId="1FC057B3" w:rsidR="004B2DE6" w:rsidRPr="00E76AA6" w:rsidRDefault="004B2DE6" w:rsidP="00E264C7">
      <w:r w:rsidRPr="00E76AA6">
        <w:t xml:space="preserve">Místo pro podání nabídek </w:t>
      </w:r>
      <w:r w:rsidR="003C6D44" w:rsidRPr="00E76AA6">
        <w:t xml:space="preserve">je </w:t>
      </w:r>
      <w:r w:rsidR="003C6D44" w:rsidRPr="00EE017D">
        <w:t xml:space="preserve">podatelna v sídle zadavatele </w:t>
      </w:r>
      <w:r w:rsidRPr="00EE017D">
        <w:t>a je dostupné v běžnou pracovní dobu</w:t>
      </w:r>
      <w:r w:rsidR="00EE017D" w:rsidRPr="00EE017D">
        <w:t>.</w:t>
      </w:r>
    </w:p>
    <w:p w14:paraId="375A6919" w14:textId="77777777" w:rsidR="0036023F" w:rsidRPr="00A16372" w:rsidRDefault="0036023F" w:rsidP="00E264C7">
      <w:pPr>
        <w:pStyle w:val="Nadpis2"/>
      </w:pPr>
      <w:r w:rsidRPr="00A16372">
        <w:lastRenderedPageBreak/>
        <w:t>Změny a odvolání nabídky</w:t>
      </w:r>
      <w:bookmarkEnd w:id="60"/>
    </w:p>
    <w:p w14:paraId="227EC0C5" w14:textId="77777777" w:rsidR="0036023F" w:rsidRPr="00E76AA6" w:rsidRDefault="0036023F" w:rsidP="00E264C7">
      <w:r w:rsidRPr="00E76AA6">
        <w:t xml:space="preserve">Předloženou nabídku lze odvolat, měnit nebo doplňovat pouze </w:t>
      </w:r>
      <w:r w:rsidR="00B92B84" w:rsidRPr="00E76AA6">
        <w:t>ve lhůtě</w:t>
      </w:r>
      <w:r w:rsidRPr="00E76AA6">
        <w:t xml:space="preserve"> pro podání nabídek. </w:t>
      </w:r>
    </w:p>
    <w:p w14:paraId="73B6137D" w14:textId="77777777" w:rsidR="002C1763" w:rsidRPr="00E76AA6" w:rsidRDefault="00DB2D32" w:rsidP="00DB2D32">
      <w:pPr>
        <w:pStyle w:val="Nadpis2"/>
      </w:pPr>
      <w:bookmarkStart w:id="61" w:name="_Toc159843949"/>
      <w:r>
        <w:t xml:space="preserve">Vysvětlení, změny a doplnění </w:t>
      </w:r>
      <w:bookmarkEnd w:id="61"/>
      <w:r w:rsidR="009A740F">
        <w:t>Z</w:t>
      </w:r>
      <w:r>
        <w:t>adávací dokumentace</w:t>
      </w:r>
    </w:p>
    <w:p w14:paraId="2B169F04" w14:textId="77777777" w:rsidR="002C1763" w:rsidRPr="009A740F" w:rsidRDefault="009A740F" w:rsidP="009A740F">
      <w:pPr>
        <w:pStyle w:val="PFI-odstavec"/>
      </w:pPr>
      <w:r>
        <w:t xml:space="preserve">Dodavatelé jsou oprávněni požádat zadavatele </w:t>
      </w:r>
      <w:r w:rsidR="002C1763" w:rsidRPr="009A740F">
        <w:t xml:space="preserve">o </w:t>
      </w:r>
      <w:r>
        <w:t>v</w:t>
      </w:r>
      <w:r w:rsidRPr="009A740F">
        <w:t>ysvětlení</w:t>
      </w:r>
      <w:r>
        <w:t xml:space="preserve"> </w:t>
      </w:r>
      <w:r w:rsidRPr="009A740F">
        <w:t xml:space="preserve">Zadávací dokumentace </w:t>
      </w:r>
      <w:r>
        <w:t xml:space="preserve">(též „položit </w:t>
      </w:r>
      <w:r w:rsidR="002C1763" w:rsidRPr="009A740F">
        <w:t>dotaz</w:t>
      </w:r>
      <w:r>
        <w:t>“</w:t>
      </w:r>
      <w:r w:rsidR="002C1763" w:rsidRPr="009A740F">
        <w:t>)</w:t>
      </w:r>
      <w:r>
        <w:t>.</w:t>
      </w:r>
      <w:r w:rsidR="002C1763" w:rsidRPr="009A740F">
        <w:t xml:space="preserve"> </w:t>
      </w:r>
      <w:r>
        <w:t xml:space="preserve">Dotaz </w:t>
      </w:r>
      <w:r w:rsidR="002C1763" w:rsidRPr="009A740F">
        <w:t xml:space="preserve">musí být </w:t>
      </w:r>
      <w:r>
        <w:t xml:space="preserve">položen </w:t>
      </w:r>
      <w:r w:rsidR="002C1763" w:rsidRPr="009A740F">
        <w:t xml:space="preserve">zadavateli pouze v písemné formě (poštou, osobně, e-mailem na adresu </w:t>
      </w:r>
      <w:r w:rsidR="000364D7" w:rsidRPr="009A740F">
        <w:t>a způsobem uvedeným</w:t>
      </w:r>
      <w:r w:rsidR="002C1763" w:rsidRPr="009A740F">
        <w:t xml:space="preserve"> v</w:t>
      </w:r>
      <w:r w:rsidR="0046401D">
        <w:t> </w:t>
      </w:r>
      <w:r w:rsidR="000364D7" w:rsidRPr="009A740F">
        <w:t>bodě</w:t>
      </w:r>
      <w:r w:rsidR="0046401D">
        <w:t xml:space="preserve"> </w:t>
      </w:r>
      <w:r w:rsidR="0046401D">
        <w:fldChar w:fldCharType="begin"/>
      </w:r>
      <w:r w:rsidR="0046401D">
        <w:instrText xml:space="preserve"> REF _Ref162670807 \w \h </w:instrText>
      </w:r>
      <w:r w:rsidR="0046401D">
        <w:fldChar w:fldCharType="separate"/>
      </w:r>
      <w:r w:rsidR="00A96952">
        <w:t>1.1</w:t>
      </w:r>
      <w:r w:rsidR="0046401D">
        <w:fldChar w:fldCharType="end"/>
      </w:r>
      <w:r w:rsidR="002C1763" w:rsidRPr="009A740F">
        <w:t>)</w:t>
      </w:r>
      <w:r w:rsidR="00893A7E" w:rsidRPr="009A740F">
        <w:t xml:space="preserve"> a nejpozději </w:t>
      </w:r>
      <w:r>
        <w:t>3 pracovní dny</w:t>
      </w:r>
      <w:r w:rsidR="00893A7E" w:rsidRPr="009A740F">
        <w:t xml:space="preserve"> před koncem lhůty </w:t>
      </w:r>
      <w:r>
        <w:t>podle odst. (2)</w:t>
      </w:r>
      <w:r w:rsidR="002C1763" w:rsidRPr="009A740F">
        <w:t xml:space="preserve">. </w:t>
      </w:r>
    </w:p>
    <w:p w14:paraId="1DDF38FE" w14:textId="22BAB247" w:rsidR="0071313C" w:rsidRPr="00DB2D32" w:rsidRDefault="0071313C" w:rsidP="0071313C">
      <w:pPr>
        <w:pStyle w:val="PFI-odstavec"/>
      </w:pPr>
      <w:r w:rsidRPr="00DB2D32">
        <w:t xml:space="preserve">Zadavatel </w:t>
      </w:r>
      <w:r>
        <w:t>uveřejní</w:t>
      </w:r>
      <w:r w:rsidRPr="00DB2D32">
        <w:t xml:space="preserve"> </w:t>
      </w:r>
      <w:r>
        <w:t>v</w:t>
      </w:r>
      <w:r w:rsidRPr="00DB2D32">
        <w:t xml:space="preserve">ysvětlení </w:t>
      </w:r>
      <w:r>
        <w:t>Z</w:t>
      </w:r>
      <w:r w:rsidRPr="00DB2D32">
        <w:t xml:space="preserve">adávací dokumentace </w:t>
      </w:r>
      <w:r>
        <w:t xml:space="preserve">nejpozději </w:t>
      </w:r>
      <w:r w:rsidR="009231A7">
        <w:t>4 pracovní dny</w:t>
      </w:r>
      <w:r>
        <w:t xml:space="preserve"> před koncem lhůty pro podání nabídek</w:t>
      </w:r>
      <w:r w:rsidRPr="00DB2D32">
        <w:t>.</w:t>
      </w:r>
    </w:p>
    <w:p w14:paraId="179A2844" w14:textId="77777777" w:rsidR="00BF7770" w:rsidRDefault="00BF7770" w:rsidP="009A740F">
      <w:pPr>
        <w:pStyle w:val="PFI-odstavec"/>
      </w:pPr>
      <w:r>
        <w:t>Zadavatel si vyhrazuje právo odpovědět na dotazy položené i po skončení lhůty podle odst. (1). V tom případě v souladu s § 98 odst. (3) ZZVZ nemusí dodržet lhůtu podle odst. (2).</w:t>
      </w:r>
    </w:p>
    <w:p w14:paraId="100770D4" w14:textId="77777777" w:rsidR="007401E0" w:rsidRDefault="007401E0" w:rsidP="007401E0">
      <w:pPr>
        <w:pStyle w:val="PFI-odstavec"/>
      </w:pPr>
      <w:r>
        <w:t xml:space="preserve">Zadavatel si vyhrazuje právo vedle vysvětlení Zadávací dokumentace provést též změny či doplnění Zadávací dokumentace; </w:t>
      </w:r>
    </w:p>
    <w:p w14:paraId="08802A5E" w14:textId="77777777" w:rsidR="001E2612" w:rsidRPr="009A740F" w:rsidRDefault="009A740F" w:rsidP="0036380B">
      <w:pPr>
        <w:pStyle w:val="PFI-odstavec"/>
      </w:pPr>
      <w:r w:rsidRPr="009A740F">
        <w:t xml:space="preserve">Vysvětlení, změny a doplnění </w:t>
      </w:r>
      <w:r>
        <w:t>Z</w:t>
      </w:r>
      <w:r w:rsidRPr="009A740F">
        <w:t xml:space="preserve">adávací dokumentace </w:t>
      </w:r>
      <w:r w:rsidR="001E2612" w:rsidRPr="009A740F">
        <w:t xml:space="preserve">jsou součástí </w:t>
      </w:r>
      <w:r>
        <w:t>Zadávací</w:t>
      </w:r>
      <w:r w:rsidR="001E2612" w:rsidRPr="009A740F">
        <w:t xml:space="preserve"> </w:t>
      </w:r>
      <w:r>
        <w:t xml:space="preserve">dokumentace </w:t>
      </w:r>
      <w:r w:rsidR="001E2612" w:rsidRPr="009A740F">
        <w:t xml:space="preserve">a nedodržení požadavků v nich uvedených může vést k vyloučení </w:t>
      </w:r>
      <w:r w:rsidR="0036380B">
        <w:t>dodavatel</w:t>
      </w:r>
      <w:r w:rsidR="001E2612" w:rsidRPr="009A740F">
        <w:t xml:space="preserve">e ze zadávacího řízení. </w:t>
      </w:r>
    </w:p>
    <w:p w14:paraId="37E61837" w14:textId="77777777" w:rsidR="001E2612" w:rsidRPr="009A740F" w:rsidRDefault="001E2612" w:rsidP="009A740F">
      <w:pPr>
        <w:rPr>
          <w:b/>
        </w:rPr>
      </w:pPr>
      <w:r w:rsidRPr="009A740F">
        <w:rPr>
          <w:b/>
        </w:rPr>
        <w:t xml:space="preserve">Zadavatel z toho důvodu upozorňuje, že </w:t>
      </w:r>
      <w:r w:rsidR="004672EC">
        <w:rPr>
          <w:b/>
        </w:rPr>
        <w:t>v</w:t>
      </w:r>
      <w:r w:rsidR="004672EC" w:rsidRPr="004672EC">
        <w:rPr>
          <w:b/>
        </w:rPr>
        <w:t xml:space="preserve">ysvětlení, změny a doplnění Zadávací dokumentace </w:t>
      </w:r>
      <w:r w:rsidR="00EF1E2E" w:rsidRPr="009A740F">
        <w:rPr>
          <w:b/>
        </w:rPr>
        <w:t>uv</w:t>
      </w:r>
      <w:r w:rsidR="009A740F" w:rsidRPr="009A740F">
        <w:rPr>
          <w:b/>
        </w:rPr>
        <w:t xml:space="preserve">eřejňuje </w:t>
      </w:r>
      <w:r w:rsidR="009A740F">
        <w:rPr>
          <w:b/>
        </w:rPr>
        <w:t xml:space="preserve">v souladu s § 98 ZZVZ </w:t>
      </w:r>
      <w:r w:rsidR="009A740F" w:rsidRPr="009A740F">
        <w:rPr>
          <w:b/>
        </w:rPr>
        <w:t>na profilu zadavatele</w:t>
      </w:r>
      <w:r w:rsidRPr="009A740F">
        <w:rPr>
          <w:b/>
        </w:rPr>
        <w:t>.</w:t>
      </w:r>
    </w:p>
    <w:p w14:paraId="113BB513" w14:textId="77777777" w:rsidR="0036023F" w:rsidRPr="00A16372" w:rsidRDefault="0036023F" w:rsidP="00BF7770">
      <w:pPr>
        <w:pStyle w:val="Nadpis1"/>
      </w:pPr>
      <w:bookmarkStart w:id="62" w:name="_Toc159843946"/>
      <w:bookmarkStart w:id="63" w:name="_Toc477447834"/>
      <w:r w:rsidRPr="00A16372">
        <w:t>Otevírání obálek</w:t>
      </w:r>
      <w:bookmarkEnd w:id="62"/>
      <w:bookmarkEnd w:id="63"/>
    </w:p>
    <w:p w14:paraId="3A9E4B22" w14:textId="5394B02E" w:rsidR="0036023F" w:rsidRPr="006E7CC8" w:rsidRDefault="0036023F" w:rsidP="006E7CC8">
      <w:r w:rsidRPr="006E7CC8">
        <w:t>Otevírání obálek se uskute</w:t>
      </w:r>
      <w:r w:rsidRPr="00CC5192">
        <w:t xml:space="preserve">ční </w:t>
      </w:r>
      <w:r w:rsidR="00733A47" w:rsidRPr="00CC5192">
        <w:t xml:space="preserve">v termínu shodném s koncem lhůty pro podání nabídek (viz též bod </w:t>
      </w:r>
      <w:r w:rsidR="00733A47" w:rsidRPr="00CD2E7F">
        <w:fldChar w:fldCharType="begin"/>
      </w:r>
      <w:r w:rsidR="00733A47" w:rsidRPr="00CD2E7F">
        <w:instrText xml:space="preserve"> REF _Ref162670415 \n \h  \* MERGEFORMAT </w:instrText>
      </w:r>
      <w:r w:rsidR="00733A47" w:rsidRPr="00CD2E7F">
        <w:fldChar w:fldCharType="separate"/>
      </w:r>
      <w:r w:rsidR="00A96952" w:rsidRPr="00CD2E7F">
        <w:t>7.1</w:t>
      </w:r>
      <w:r w:rsidR="00733A47" w:rsidRPr="00CD2E7F">
        <w:fldChar w:fldCharType="end"/>
      </w:r>
      <w:r w:rsidR="00733A47" w:rsidRPr="00CD2E7F">
        <w:t xml:space="preserve"> odst.</w:t>
      </w:r>
      <w:r w:rsidR="00DB350B" w:rsidRPr="00CD2E7F">
        <w:t xml:space="preserve"> </w:t>
      </w:r>
      <w:r w:rsidR="00DB350B" w:rsidRPr="00CD2E7F">
        <w:fldChar w:fldCharType="begin"/>
      </w:r>
      <w:r w:rsidR="00DB350B" w:rsidRPr="00CD2E7F">
        <w:instrText xml:space="preserve"> REF _Ref471202827 \n \h </w:instrText>
      </w:r>
      <w:r w:rsidR="00CC5192" w:rsidRPr="00CD2E7F">
        <w:instrText xml:space="preserve"> \* MERGEFORMAT </w:instrText>
      </w:r>
      <w:r w:rsidR="00DB350B" w:rsidRPr="00CD2E7F">
        <w:fldChar w:fldCharType="separate"/>
      </w:r>
      <w:r w:rsidR="00A96952" w:rsidRPr="00CD2E7F">
        <w:t>(1)</w:t>
      </w:r>
      <w:r w:rsidR="00DB350B" w:rsidRPr="00CD2E7F">
        <w:fldChar w:fldCharType="end"/>
      </w:r>
      <w:r w:rsidR="00733A47" w:rsidRPr="00CD2E7F">
        <w:t xml:space="preserve">) </w:t>
      </w:r>
      <w:r w:rsidRPr="00CD2E7F">
        <w:t>v</w:t>
      </w:r>
      <w:r w:rsidR="00D97E81" w:rsidRPr="00CD2E7F">
        <w:t xml:space="preserve"> malé</w:t>
      </w:r>
      <w:r w:rsidRPr="00CD2E7F">
        <w:t> zasedací místnosti v</w:t>
      </w:r>
      <w:r w:rsidR="00D97E81" w:rsidRPr="00CD2E7F">
        <w:t xml:space="preserve"> 1. patře </w:t>
      </w:r>
      <w:r w:rsidR="00097911" w:rsidRPr="00CD2E7F">
        <w:t>budov</w:t>
      </w:r>
      <w:r w:rsidR="00D97E81" w:rsidRPr="00CD2E7F">
        <w:t>y</w:t>
      </w:r>
      <w:r w:rsidR="00097911" w:rsidRPr="00CD2E7F">
        <w:t xml:space="preserve"> sídla</w:t>
      </w:r>
      <w:r w:rsidRPr="00CD2E7F">
        <w:t xml:space="preserve"> zadavatele</w:t>
      </w:r>
      <w:r w:rsidR="00D97E81" w:rsidRPr="00CD2E7F">
        <w:t>, tj. Městský úřad Mariánské Lázně, Ruská 155/3, 353 01 Mariánské Lázně</w:t>
      </w:r>
      <w:r w:rsidRPr="00CD2E7F">
        <w:t xml:space="preserve">. </w:t>
      </w:r>
      <w:r w:rsidR="0036380B" w:rsidRPr="00CD2E7F">
        <w:t>Otevírání obálek se mohou zúčastnit max. 2 zástupci každého účastníka zadávacího řízení, jehož nabídka byla doručena ve lhůtě pro podání</w:t>
      </w:r>
      <w:r w:rsidR="0036380B" w:rsidRPr="0036380B">
        <w:t xml:space="preserve"> </w:t>
      </w:r>
      <w:r w:rsidR="0036380B" w:rsidRPr="00843753">
        <w:t>nabídek. Přítomnost zástupců účastníků zadávacího řízení na otevírání obálek může komise či zadavatel podmínit prokázáním vztahu zástupce k účastníkovi zadávacího řízení; v takovém případě se zástupci prokáží plnou mocí vystavenou oprávněným zástupcem účastníka zadávacího řízení; v případě, že je zástupce statutárním orgánem účastníka zadávacího řízení, pak průkazem totožnosti.</w:t>
      </w:r>
    </w:p>
    <w:p w14:paraId="65B517CA" w14:textId="77777777" w:rsidR="0036023F" w:rsidRPr="00E76AA6" w:rsidRDefault="00D93EC0" w:rsidP="00257948">
      <w:pPr>
        <w:pStyle w:val="Nadpis1"/>
      </w:pPr>
      <w:bookmarkStart w:id="64" w:name="_Toc159843947"/>
      <w:bookmarkStart w:id="65" w:name="_Toc477447835"/>
      <w:r w:rsidRPr="00E76AA6">
        <w:t>Posouzení a h</w:t>
      </w:r>
      <w:r w:rsidR="0036023F" w:rsidRPr="00E76AA6">
        <w:t>odnocení nabídek</w:t>
      </w:r>
      <w:bookmarkEnd w:id="64"/>
      <w:bookmarkEnd w:id="65"/>
    </w:p>
    <w:p w14:paraId="6F5E8250" w14:textId="77777777" w:rsidR="00781AAD" w:rsidRPr="00E76AA6" w:rsidRDefault="00257948" w:rsidP="00257948">
      <w:pPr>
        <w:pStyle w:val="Nadpis2"/>
      </w:pPr>
      <w:r>
        <w:t>Postup hodnocení a p</w:t>
      </w:r>
      <w:r w:rsidR="00781AAD" w:rsidRPr="00E76AA6">
        <w:t xml:space="preserve">osouzení </w:t>
      </w:r>
      <w:r>
        <w:t>splnění podmínek účasti</w:t>
      </w:r>
    </w:p>
    <w:p w14:paraId="17BA206A" w14:textId="69288C76" w:rsidR="001B200D" w:rsidRPr="00CD2E7F" w:rsidRDefault="001B200D" w:rsidP="001B200D">
      <w:r w:rsidRPr="00CD2E7F">
        <w:t>Zadavatel bude při výběru nejv</w:t>
      </w:r>
      <w:r w:rsidR="00135FB2" w:rsidRPr="00CD2E7F">
        <w:t>ý</w:t>
      </w:r>
      <w:r w:rsidRPr="00CD2E7F">
        <w:t>hodnější nabídky postupovat systémem výběru „první dobré nabídky“:</w:t>
      </w:r>
    </w:p>
    <w:p w14:paraId="5A7A44F8" w14:textId="77777777" w:rsidR="006E51BE" w:rsidRPr="00CD2E7F" w:rsidRDefault="001B200D" w:rsidP="001B200D">
      <w:pPr>
        <w:pStyle w:val="PFI-odstavec"/>
      </w:pPr>
      <w:r w:rsidRPr="00CD2E7F">
        <w:t xml:space="preserve">Po otevírání obálek bude </w:t>
      </w:r>
      <w:r w:rsidR="00A14A3D" w:rsidRPr="00CD2E7F">
        <w:t xml:space="preserve">podle kritérií </w:t>
      </w:r>
      <w:r w:rsidR="009B5CF1" w:rsidRPr="00CD2E7F">
        <w:t xml:space="preserve">hodnocení </w:t>
      </w:r>
      <w:r w:rsidRPr="00CD2E7F">
        <w:t>provedeno hodnocení nabídek.</w:t>
      </w:r>
    </w:p>
    <w:p w14:paraId="1FB4BC5B" w14:textId="77777777" w:rsidR="001B200D" w:rsidRPr="00CD2E7F" w:rsidRDefault="001B200D" w:rsidP="001B200D">
      <w:pPr>
        <w:pStyle w:val="PFI-odstavec"/>
      </w:pPr>
      <w:r w:rsidRPr="00CD2E7F">
        <w:t>Nabídka, která z</w:t>
      </w:r>
      <w:r w:rsidR="009B5CF1" w:rsidRPr="00CD2E7F">
        <w:t>e</w:t>
      </w:r>
      <w:r w:rsidRPr="00CD2E7F">
        <w:t xml:space="preserve"> </w:t>
      </w:r>
      <w:r w:rsidR="009B5CF1" w:rsidRPr="00CD2E7F">
        <w:t xml:space="preserve">stanoveného </w:t>
      </w:r>
      <w:r w:rsidRPr="00CD2E7F">
        <w:t xml:space="preserve">pořadí vzešla jako </w:t>
      </w:r>
      <w:r w:rsidR="009B5CF1" w:rsidRPr="00CD2E7F">
        <w:t xml:space="preserve">ekonomicky </w:t>
      </w:r>
      <w:r w:rsidRPr="00CD2E7F">
        <w:t>nejvýhodnější, bude posouzena z hlediska splnění požadavků stanovených v zadávacích podmínkách, resp. v ZZVZ, podle následujícího postupu:</w:t>
      </w:r>
    </w:p>
    <w:p w14:paraId="73AAB5DD" w14:textId="3FFC6920" w:rsidR="001B200D" w:rsidRPr="00CD2E7F" w:rsidRDefault="001B200D" w:rsidP="001B200D">
      <w:pPr>
        <w:pStyle w:val="PFI-pismeno"/>
      </w:pPr>
      <w:r w:rsidRPr="00CD2E7F">
        <w:t>Pokud se zjistí, že nabídka vyhovuje všem stanoveným podmínkám, postoupí se zadavateli k provedení výběru nejv</w:t>
      </w:r>
      <w:r w:rsidR="00135FB2" w:rsidRPr="00CD2E7F">
        <w:t>ý</w:t>
      </w:r>
      <w:r w:rsidRPr="00CD2E7F">
        <w:t xml:space="preserve">hodnější nabídky. </w:t>
      </w:r>
    </w:p>
    <w:p w14:paraId="770FD212" w14:textId="77777777" w:rsidR="001B200D" w:rsidRDefault="001B200D" w:rsidP="001B200D">
      <w:pPr>
        <w:pStyle w:val="PFI-pismeno"/>
      </w:pPr>
      <w:r>
        <w:t xml:space="preserve">Pokud se zjistí, že nabídka prokazatelně nesplňuje stanovené podmínky, </w:t>
      </w:r>
      <w:r w:rsidR="009F452B">
        <w:t xml:space="preserve">případně že účastník zadávacího řízení splňuje některou z podmínek pro vyloučení ze zadávacího </w:t>
      </w:r>
      <w:r w:rsidR="009F452B">
        <w:lastRenderedPageBreak/>
        <w:t xml:space="preserve">řízení podle § 48 ZZVZ, </w:t>
      </w:r>
      <w:r>
        <w:t>nabídka bude vyřazena</w:t>
      </w:r>
      <w:r w:rsidR="009F452B">
        <w:t xml:space="preserve"> </w:t>
      </w:r>
      <w:r>
        <w:t xml:space="preserve">a přistoupí se k posuzování další nabídky podle </w:t>
      </w:r>
      <w:r w:rsidR="009B5CF1">
        <w:t xml:space="preserve">stanoveného </w:t>
      </w:r>
      <w:r>
        <w:t>pořadí</w:t>
      </w:r>
      <w:r w:rsidR="009B5CF1">
        <w:t>; pokud by vyřazení nabídky mělo vliv na hodnocení nabídek, bude předtím provedeno nové hodnocení nabídek</w:t>
      </w:r>
      <w:r>
        <w:t>.</w:t>
      </w:r>
    </w:p>
    <w:p w14:paraId="34FB073B" w14:textId="77777777" w:rsidR="009B5CF1" w:rsidRDefault="009B5CF1" w:rsidP="009B5CF1">
      <w:pPr>
        <w:pStyle w:val="PFI-pismeno"/>
        <w:numPr>
          <w:ilvl w:val="0"/>
          <w:numId w:val="0"/>
        </w:numPr>
        <w:ind w:left="680"/>
      </w:pPr>
      <w:r>
        <w:t xml:space="preserve">Pochybení formálního charakteru (např. nedodržení doporučeného způsobu zpracování nabídky podle bodu </w:t>
      </w:r>
      <w:r>
        <w:fldChar w:fldCharType="begin"/>
      </w:r>
      <w:r>
        <w:instrText xml:space="preserve"> REF _Ref159909559 \n \h </w:instrText>
      </w:r>
      <w:r>
        <w:fldChar w:fldCharType="separate"/>
      </w:r>
      <w:r w:rsidR="00A96952">
        <w:t>4.3</w:t>
      </w:r>
      <w:r>
        <w:fldChar w:fldCharType="end"/>
      </w:r>
      <w:r>
        <w:t xml:space="preserve">) </w:t>
      </w:r>
      <w:r w:rsidRPr="00A940CE">
        <w:t>nemůže být samo o sobě důvodem k vyloučení.</w:t>
      </w:r>
    </w:p>
    <w:p w14:paraId="1D5144AB" w14:textId="77777777" w:rsidR="001B200D" w:rsidRDefault="00A14A3D" w:rsidP="009A740F">
      <w:pPr>
        <w:pStyle w:val="PFI-pismeno"/>
      </w:pPr>
      <w:r w:rsidRPr="00A14A3D">
        <w:t xml:space="preserve">Zadavatel může pro účely zajištění řádného průběhu zadávacího řízení požadovat, aby účastník zadávacího řízení v přiměřené lhůtě objasnil předložené údaje, doklady, vzorky nebo modely nebo doplnil další nebo chybějící údaje, doklady, vzorky nebo modely. Zadavatel může tuto žádost učinit opakovaně a může rovněž stanovenou lhůtu prodloužit nebo prominout její zmeškání. </w:t>
      </w:r>
      <w:r>
        <w:t>V</w:t>
      </w:r>
      <w:r w:rsidR="001B200D">
        <w:t xml:space="preserve"> takovém případě se </w:t>
      </w:r>
      <w:r>
        <w:t xml:space="preserve">objasnění, resp. doplnění předložených údajů, dokladů, vzorků nebo modelů účastníkem zadávacího řízení </w:t>
      </w:r>
      <w:r w:rsidR="001B200D">
        <w:t xml:space="preserve">dále postupuje podle bodů a), resp. b) analogicky. Pokud však </w:t>
      </w:r>
      <w:r>
        <w:t xml:space="preserve">účastník zadávacího řízení </w:t>
      </w:r>
      <w:r w:rsidR="001B200D">
        <w:t xml:space="preserve">neposkytuje při vysvětlování nejasností dostatečnou součinnost (např. pokud zadavateli opakovaně neodpoví ve stanovené lhůtě), bude jeho nabídka vyřazena a </w:t>
      </w:r>
      <w:r>
        <w:t xml:space="preserve">účastník zadávacího řízení </w:t>
      </w:r>
      <w:r w:rsidR="001B200D">
        <w:t>vyloučen i bez definitivního rozhodnutí, zda nabídka stanovené požadavky splňuje či nikoli. V takovém případě se postupuje analogicky podle bodu b).</w:t>
      </w:r>
    </w:p>
    <w:p w14:paraId="51C40C9E" w14:textId="77777777" w:rsidR="001B200D" w:rsidRDefault="001B200D" w:rsidP="001B200D">
      <w:pPr>
        <w:pStyle w:val="PFI-pismeno"/>
      </w:pPr>
      <w:r>
        <w:t>Posuzování splnění stanovených požadavků probíhá do té doby, než bude nalezena první nabídka splňující stanovené požadavky.</w:t>
      </w:r>
    </w:p>
    <w:p w14:paraId="6924E196" w14:textId="77777777" w:rsidR="009B7B47" w:rsidRDefault="009B7B47" w:rsidP="009B7B47">
      <w:pPr>
        <w:pStyle w:val="PFI-odstavec"/>
      </w:pPr>
      <w:r>
        <w:t>V případě vyloučení vybraného dodavatele před podpisem smlouvy (např. z důvodu neposkytnutí součinnosti k podpisu smlouvy) se zopakuje postup podle odst. (2) s těmi nabídkami, resp. účastníky zadávacího řízení, které nebyly vyřazeny, resp. kteří nebyli vyloučeni.</w:t>
      </w:r>
    </w:p>
    <w:p w14:paraId="46EF2FAD" w14:textId="77777777" w:rsidR="00781AAD" w:rsidRPr="00E76AA6" w:rsidRDefault="00CA5AE8" w:rsidP="00954863">
      <w:pPr>
        <w:pStyle w:val="Nadpis2"/>
      </w:pPr>
      <w:bookmarkStart w:id="66" w:name="_Ref500707121"/>
      <w:r>
        <w:t>Hodnocení nabídek</w:t>
      </w:r>
      <w:bookmarkEnd w:id="66"/>
    </w:p>
    <w:p w14:paraId="6104E72C" w14:textId="77777777" w:rsidR="002A647C" w:rsidRDefault="00CA5AE8" w:rsidP="00CA5AE8">
      <w:pPr>
        <w:pStyle w:val="PFI-odstavec"/>
      </w:pPr>
      <w:r w:rsidRPr="00CA5AE8">
        <w:t>Nabídky budou hodnoceny podle jejich ekonomické výhodnosti.</w:t>
      </w:r>
    </w:p>
    <w:p w14:paraId="14256F55" w14:textId="3BBE8CDD" w:rsidR="00CA5AE8" w:rsidRPr="007A3506" w:rsidRDefault="00CA5AE8" w:rsidP="00CA5AE8">
      <w:pPr>
        <w:pStyle w:val="PFI-odstavec"/>
      </w:pPr>
      <w:r w:rsidRPr="007A3506">
        <w:t>Ekonomická výhodnost nabídek se hodnotí na základě nejvýhodnějšího poměru nabídkové ceny a kvality</w:t>
      </w:r>
      <w:r w:rsidR="007A3506" w:rsidRPr="007A3506">
        <w:t>.</w:t>
      </w:r>
    </w:p>
    <w:p w14:paraId="7B2CDC61" w14:textId="77777777" w:rsidR="00CA5AE8" w:rsidRPr="007A3506" w:rsidRDefault="00CA5AE8" w:rsidP="00564DE3">
      <w:pPr>
        <w:pStyle w:val="Nadpis3"/>
        <w:numPr>
          <w:ilvl w:val="2"/>
          <w:numId w:val="16"/>
        </w:numPr>
      </w:pPr>
      <w:bookmarkStart w:id="67" w:name="_Ref464823738"/>
      <w:r w:rsidRPr="00CA5AE8">
        <w:t xml:space="preserve">Kritéria </w:t>
      </w:r>
      <w:r w:rsidRPr="007A3506">
        <w:t>hodnocení</w:t>
      </w:r>
      <w:r w:rsidR="004C1A15" w:rsidRPr="007A3506">
        <w:t xml:space="preserve"> a jejich váhy</w:t>
      </w:r>
      <w:bookmarkEnd w:id="67"/>
    </w:p>
    <w:p w14:paraId="030F608A" w14:textId="77777777" w:rsidR="004C1A15" w:rsidRPr="004C1A15" w:rsidRDefault="004C1A15" w:rsidP="004C1A15">
      <w:r w:rsidRPr="007A3506">
        <w:t>Zadavatel stanovil následující kritéria hodnocení a jejich váhy:</w:t>
      </w:r>
    </w:p>
    <w:p w14:paraId="63E74125" w14:textId="3CEB4B52" w:rsidR="003B7B4C" w:rsidRPr="00E76AA6" w:rsidRDefault="003B7B4C" w:rsidP="003B7B4C">
      <w:pPr>
        <w:pStyle w:val="PFI-odstavec"/>
      </w:pPr>
      <w:r w:rsidRPr="00E76AA6">
        <w:t xml:space="preserve">Výše nabídkové ceny </w:t>
      </w:r>
      <w:r>
        <w:t xml:space="preserve">(viz bod </w:t>
      </w:r>
      <w:r>
        <w:fldChar w:fldCharType="begin"/>
      </w:r>
      <w:r>
        <w:instrText xml:space="preserve"> REF _Ref489445677 \r \h </w:instrText>
      </w:r>
      <w:r>
        <w:fldChar w:fldCharType="separate"/>
      </w:r>
      <w:r w:rsidR="00A96952">
        <w:t>3</w:t>
      </w:r>
      <w:r>
        <w:fldChar w:fldCharType="end"/>
      </w:r>
      <w:r>
        <w:t xml:space="preserve">) </w:t>
      </w:r>
      <w:r w:rsidRPr="00E76AA6">
        <w:t xml:space="preserve">– </w:t>
      </w:r>
      <w:r w:rsidR="00EA32F6">
        <w:t>7</w:t>
      </w:r>
      <w:r w:rsidR="00C67FFC">
        <w:t>0</w:t>
      </w:r>
      <w:r w:rsidRPr="00E76AA6">
        <w:t xml:space="preserve"> %</w:t>
      </w:r>
    </w:p>
    <w:p w14:paraId="39BB1E9B" w14:textId="490C8291" w:rsidR="003B7B4C" w:rsidRPr="00385823" w:rsidRDefault="003B7B4C" w:rsidP="003B7B4C">
      <w:pPr>
        <w:pStyle w:val="PFI-odstavec"/>
      </w:pPr>
      <w:r w:rsidRPr="00385823">
        <w:t xml:space="preserve">Metodika implementace – </w:t>
      </w:r>
      <w:r w:rsidR="00EA32F6">
        <w:t>2</w:t>
      </w:r>
      <w:r w:rsidR="00C67FFC">
        <w:t>0</w:t>
      </w:r>
      <w:r w:rsidRPr="00385823">
        <w:t xml:space="preserve"> %</w:t>
      </w:r>
    </w:p>
    <w:p w14:paraId="79327D4F" w14:textId="01551C28" w:rsidR="006F54E1" w:rsidRPr="00843753" w:rsidRDefault="003B7B4C" w:rsidP="00843753">
      <w:pPr>
        <w:pStyle w:val="PFI-odstavec"/>
      </w:pPr>
      <w:r>
        <w:t>Technická úroveň nabízeného řešení – 10 %</w:t>
      </w:r>
    </w:p>
    <w:p w14:paraId="20FE472C" w14:textId="77777777" w:rsidR="004C1A15" w:rsidRPr="004C1A15" w:rsidRDefault="004C1A15" w:rsidP="004C1A15">
      <w:pPr>
        <w:pStyle w:val="Nadpis3"/>
      </w:pPr>
      <w:r>
        <w:t>Metoda</w:t>
      </w:r>
      <w:r w:rsidRPr="004C1A15">
        <w:t xml:space="preserve"> vyhodnocení nabídek v jednotlivých kritériích</w:t>
      </w:r>
    </w:p>
    <w:p w14:paraId="55FD260B" w14:textId="77777777" w:rsidR="004C1A15" w:rsidRPr="004C1A15" w:rsidRDefault="004C1A15" w:rsidP="004C1A15">
      <w:r>
        <w:t xml:space="preserve">Zadavatel stanovil následující metody </w:t>
      </w:r>
      <w:r w:rsidRPr="004C1A15">
        <w:t>vyhodnocení nabídek v jednotlivých kritériích</w:t>
      </w:r>
      <w:r>
        <w:t xml:space="preserve"> (v číslování odpovídající předcházejícímu bodu </w:t>
      </w:r>
      <w:r>
        <w:fldChar w:fldCharType="begin"/>
      </w:r>
      <w:r>
        <w:instrText xml:space="preserve"> REF _Ref464823738 \n \h </w:instrText>
      </w:r>
      <w:r>
        <w:fldChar w:fldCharType="separate"/>
      </w:r>
      <w:r w:rsidR="00A96952">
        <w:t>9.2.1</w:t>
      </w:r>
      <w:r>
        <w:fldChar w:fldCharType="end"/>
      </w:r>
      <w:r>
        <w:t>):</w:t>
      </w:r>
    </w:p>
    <w:p w14:paraId="6BA963A3" w14:textId="77777777" w:rsidR="006F54E1" w:rsidRPr="00E76AA6" w:rsidRDefault="008928F8" w:rsidP="004C1A15">
      <w:pPr>
        <w:pStyle w:val="PFI-odstavec"/>
      </w:pPr>
      <w:r w:rsidRPr="00E76AA6">
        <w:t>N</w:t>
      </w:r>
      <w:r w:rsidR="006F54E1" w:rsidRPr="00E76AA6">
        <w:t>ejlépe bude hodnocena nabídka s nejnižší nabídkovou cenou včetně DPH</w:t>
      </w:r>
      <w:r w:rsidRPr="00E76AA6">
        <w:t>.</w:t>
      </w:r>
    </w:p>
    <w:p w14:paraId="5C6056C7" w14:textId="39F37B36" w:rsidR="002C5DB7" w:rsidRDefault="002C5DB7" w:rsidP="002C5DB7">
      <w:r w:rsidRPr="00B756FD">
        <w:t>V případě zahraničních dodavatelů, kteří DPH s ohledem na dohodu o zamezení dvojího zdanění nevyčíslí, bude nabídková cena při hodnocení automaticky navýšena o příslušnou výši DPH dle platné národní legislativy.</w:t>
      </w:r>
    </w:p>
    <w:p w14:paraId="05F60028" w14:textId="77777777" w:rsidR="0092695E" w:rsidRDefault="0092695E" w:rsidP="0092695E">
      <w:pPr>
        <w:pStyle w:val="PFI-odstavec"/>
      </w:pPr>
      <w:r w:rsidRPr="00E76AA6">
        <w:t xml:space="preserve">Nejlépe bude hodnocena nabídka, která </w:t>
      </w:r>
      <w:r>
        <w:t>získá nejvíce bodů podle níže uvedených pravidel.</w:t>
      </w:r>
    </w:p>
    <w:p w14:paraId="1F3DEA78" w14:textId="77777777" w:rsidR="00182008" w:rsidRPr="00A20A7B" w:rsidRDefault="00182008" w:rsidP="00182008">
      <w:r w:rsidRPr="00A20A7B">
        <w:t xml:space="preserve">Dodavatel uvede ve své nabídce detailní popis postupu (metodiku) realizace veřejné zakázky. Metodika bude zahrnovat podrobný popis způsobu realizace zakázky se specifikací postupů a </w:t>
      </w:r>
      <w:r w:rsidRPr="00A20A7B">
        <w:lastRenderedPageBreak/>
        <w:t>opatření, která budou garantovat řádné a efektivní splnění veřejné zakázky s minimalizací nároků na zapojení osob na straně Zadavatele.</w:t>
      </w:r>
    </w:p>
    <w:p w14:paraId="2558C35B" w14:textId="77777777" w:rsidR="00182008" w:rsidRPr="00A20A7B" w:rsidRDefault="00182008" w:rsidP="00182008">
      <w:r w:rsidRPr="00A20A7B">
        <w:t>Postup musí respektovat výchozí stav, doporučení výrobců, využití nejlepších praktik (best practice) a obecně platné technické předpisy a normy týkající se zakázky. Z popisu postupu musí být zřejmý způsob a náročnost (časová i odborná) zapojení zaměstnanců Zadavatele do realizace zakázky.</w:t>
      </w:r>
    </w:p>
    <w:p w14:paraId="594B31A7" w14:textId="77777777" w:rsidR="00182008" w:rsidRPr="00A20A7B" w:rsidRDefault="00182008" w:rsidP="00182008">
      <w:r w:rsidRPr="00A20A7B">
        <w:t>Zadavatel stanovil následující aspekty hodnocení (dílčí kritéria hodnocení) v rámci tohoto kritéria hodnocení:</w:t>
      </w:r>
    </w:p>
    <w:p w14:paraId="34BCCB54" w14:textId="2F088F9A" w:rsidR="00182008" w:rsidRPr="00A20A7B" w:rsidRDefault="00182008" w:rsidP="00182008">
      <w:pPr>
        <w:pStyle w:val="PFI-pismeno"/>
      </w:pPr>
      <w:r w:rsidRPr="00A20A7B">
        <w:t>Popis implementačního procesu</w:t>
      </w:r>
      <w:r w:rsidRPr="00A20A7B">
        <w:tab/>
      </w:r>
      <w:r>
        <w:tab/>
      </w:r>
      <w:r>
        <w:tab/>
      </w:r>
      <w:r w:rsidR="00135FB2">
        <w:tab/>
      </w:r>
      <w:r>
        <w:tab/>
      </w:r>
      <w:r w:rsidRPr="00A20A7B">
        <w:t>1 – 50 bodů</w:t>
      </w:r>
    </w:p>
    <w:p w14:paraId="49D1326D" w14:textId="2BB798D3" w:rsidR="00182008" w:rsidRPr="00A20A7B" w:rsidRDefault="00182008" w:rsidP="00182008">
      <w:pPr>
        <w:pStyle w:val="PFI-pismeno"/>
      </w:pPr>
      <w:r w:rsidRPr="00A20A7B">
        <w:t>Kompatibilita se současným prostředím</w:t>
      </w:r>
      <w:r w:rsidRPr="00A20A7B">
        <w:tab/>
      </w:r>
      <w:r>
        <w:tab/>
      </w:r>
      <w:r w:rsidR="00135FB2">
        <w:tab/>
      </w:r>
      <w:r>
        <w:tab/>
      </w:r>
      <w:r w:rsidRPr="00A20A7B">
        <w:t>0 – 20 bodů</w:t>
      </w:r>
    </w:p>
    <w:p w14:paraId="7988626D" w14:textId="32A8BE40" w:rsidR="00182008" w:rsidRPr="00A20A7B" w:rsidRDefault="00182008" w:rsidP="00182008">
      <w:pPr>
        <w:pStyle w:val="PFI-pismeno"/>
      </w:pPr>
      <w:r w:rsidRPr="00A20A7B">
        <w:t xml:space="preserve">Optimalizace zachování a využití stávajících investic </w:t>
      </w:r>
      <w:r w:rsidR="00135FB2">
        <w:tab/>
      </w:r>
      <w:r w:rsidRPr="00A20A7B">
        <w:tab/>
        <w:t>0 – 10 Bodů</w:t>
      </w:r>
    </w:p>
    <w:p w14:paraId="0034DFD8" w14:textId="5214ED6D" w:rsidR="00182008" w:rsidRPr="00A20A7B" w:rsidRDefault="00182008" w:rsidP="00182008">
      <w:pPr>
        <w:pStyle w:val="PFI-pismeno"/>
      </w:pPr>
      <w:r w:rsidRPr="00A20A7B">
        <w:t xml:space="preserve">Uplatnění doporučených postupů </w:t>
      </w:r>
      <w:r w:rsidRPr="00A20A7B">
        <w:tab/>
      </w:r>
      <w:r>
        <w:tab/>
      </w:r>
      <w:r>
        <w:tab/>
      </w:r>
      <w:r w:rsidR="00C47BB9">
        <w:tab/>
      </w:r>
      <w:r w:rsidRPr="00A20A7B">
        <w:t>0 – 10 Bodů</w:t>
      </w:r>
    </w:p>
    <w:p w14:paraId="077C18D8" w14:textId="07E53D0D" w:rsidR="00182008" w:rsidRPr="00A20A7B" w:rsidRDefault="00182008" w:rsidP="00182008">
      <w:pPr>
        <w:pStyle w:val="PFI-pismeno"/>
      </w:pPr>
      <w:r w:rsidRPr="00A20A7B">
        <w:t xml:space="preserve">Minimalizace kapacitní náročnosti </w:t>
      </w:r>
      <w:r w:rsidRPr="00A20A7B">
        <w:tab/>
      </w:r>
      <w:r>
        <w:tab/>
      </w:r>
      <w:r>
        <w:tab/>
      </w:r>
      <w:r w:rsidR="00C47BB9">
        <w:tab/>
      </w:r>
      <w:r w:rsidRPr="00A20A7B">
        <w:t>0 – 10 Bodů</w:t>
      </w:r>
    </w:p>
    <w:p w14:paraId="3ED1D2DD" w14:textId="77777777" w:rsidR="00182008" w:rsidRPr="00A20A7B" w:rsidRDefault="00182008" w:rsidP="00182008">
      <w:r w:rsidRPr="00A20A7B">
        <w:t>Bodové hodnocení v rámci kritéria hodnocení je dáno součtem bodů dosažených v jednotlivých aspektech hodnocení.</w:t>
      </w:r>
    </w:p>
    <w:p w14:paraId="12933993" w14:textId="77777777" w:rsidR="00182008" w:rsidRPr="00A20A7B" w:rsidRDefault="00182008" w:rsidP="00182008">
      <w:r w:rsidRPr="00A20A7B">
        <w:t>Pro hodnocení kvality a odborné úrovně implementačního postupu bude použita tato stupnice: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6693"/>
        <w:gridCol w:w="1111"/>
      </w:tblGrid>
      <w:tr w:rsidR="00182008" w:rsidRPr="008C63EF" w14:paraId="3CF287E9" w14:textId="77777777" w:rsidTr="00ED6B2C">
        <w:tc>
          <w:tcPr>
            <w:tcW w:w="947" w:type="pct"/>
            <w:shd w:val="clear" w:color="auto" w:fill="D0CECE"/>
          </w:tcPr>
          <w:p w14:paraId="35148A07" w14:textId="77777777" w:rsidR="00182008" w:rsidRPr="008C63EF" w:rsidRDefault="00182008" w:rsidP="00ED6B2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Aspekt hodnocení</w:t>
            </w:r>
          </w:p>
        </w:tc>
        <w:tc>
          <w:tcPr>
            <w:tcW w:w="3476" w:type="pct"/>
            <w:shd w:val="clear" w:color="auto" w:fill="D0CECE"/>
          </w:tcPr>
          <w:p w14:paraId="70000F46" w14:textId="77777777" w:rsidR="00182008" w:rsidRPr="008C63EF" w:rsidRDefault="00182008" w:rsidP="00ED6B2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Způsob hodnocení</w:t>
            </w:r>
          </w:p>
        </w:tc>
        <w:tc>
          <w:tcPr>
            <w:tcW w:w="577" w:type="pct"/>
            <w:shd w:val="clear" w:color="auto" w:fill="D0CECE"/>
          </w:tcPr>
          <w:p w14:paraId="4D56DD60" w14:textId="77777777" w:rsidR="00182008" w:rsidRPr="008C63EF" w:rsidRDefault="00182008" w:rsidP="00ED6B2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Počet bodů</w:t>
            </w:r>
          </w:p>
          <w:p w14:paraId="187789EA" w14:textId="77777777" w:rsidR="00182008" w:rsidRPr="008C63EF" w:rsidRDefault="00182008" w:rsidP="00ED6B2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(1-100)</w:t>
            </w:r>
          </w:p>
        </w:tc>
      </w:tr>
      <w:tr w:rsidR="00182008" w:rsidRPr="008C63EF" w14:paraId="64C0CFC4" w14:textId="77777777" w:rsidTr="00ED6B2C">
        <w:tc>
          <w:tcPr>
            <w:tcW w:w="947" w:type="pct"/>
            <w:shd w:val="clear" w:color="auto" w:fill="auto"/>
          </w:tcPr>
          <w:p w14:paraId="3F54CE6F" w14:textId="77777777" w:rsidR="00182008" w:rsidRPr="008C63EF" w:rsidRDefault="00182008" w:rsidP="00ED6B2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bCs/>
                <w:sz w:val="20"/>
                <w:szCs w:val="20"/>
              </w:rPr>
              <w:t>Popis implementačního procesu</w:t>
            </w:r>
          </w:p>
        </w:tc>
        <w:tc>
          <w:tcPr>
            <w:tcW w:w="3476" w:type="pct"/>
            <w:shd w:val="clear" w:color="auto" w:fill="auto"/>
          </w:tcPr>
          <w:p w14:paraId="33805B88" w14:textId="77777777" w:rsidR="00182008" w:rsidRPr="008C63EF" w:rsidRDefault="00182008" w:rsidP="00ED6B2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Splňuje nadstandardním způsobem</w:t>
            </w:r>
          </w:p>
          <w:p w14:paraId="5E4436C3" w14:textId="77777777" w:rsidR="00182008" w:rsidRPr="008C63EF" w:rsidRDefault="00182008" w:rsidP="00ED6B2C">
            <w:pPr>
              <w:rPr>
                <w:rFonts w:ascii="Times New Roman" w:hAnsi="Times New Roman"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 xml:space="preserve">Metodika implementace zohledňuje v plném rozsahu požadavky stanovené v zadávací dokumentaci, obsahuje </w:t>
            </w:r>
            <w:r w:rsidRPr="008C63EF">
              <w:rPr>
                <w:rFonts w:ascii="Times New Roman" w:hAnsi="Times New Roman"/>
                <w:bCs/>
                <w:sz w:val="20"/>
                <w:szCs w:val="20"/>
              </w:rPr>
              <w:t>detailní a jednoznačný popis postupu uchazeče při realizaci předmětu plnění, který popisuje ve vzájemné návaznosti všechny kritické body realizace zakázky a přístup k nim a demonstruje přesvědčivě znalost těchto kritických bodů na straně dodavatele a patrné know-how v oblasti jejich řešení.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9F5C62E" w14:textId="77777777" w:rsidR="00182008" w:rsidRPr="008C63EF" w:rsidRDefault="00182008" w:rsidP="00ED6B2C">
            <w:pPr>
              <w:rPr>
                <w:rFonts w:ascii="Times New Roman" w:hAnsi="Times New Roman"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>50 bodů</w:t>
            </w:r>
          </w:p>
        </w:tc>
      </w:tr>
      <w:tr w:rsidR="00182008" w:rsidRPr="008C63EF" w14:paraId="29A8ECF0" w14:textId="77777777" w:rsidTr="00ED6B2C">
        <w:tc>
          <w:tcPr>
            <w:tcW w:w="947" w:type="pct"/>
            <w:shd w:val="clear" w:color="auto" w:fill="auto"/>
          </w:tcPr>
          <w:p w14:paraId="53EF722F" w14:textId="77777777" w:rsidR="00182008" w:rsidRPr="008C63EF" w:rsidRDefault="00182008" w:rsidP="00ED6B2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6" w:type="pct"/>
            <w:shd w:val="clear" w:color="auto" w:fill="auto"/>
          </w:tcPr>
          <w:p w14:paraId="23FC6911" w14:textId="77777777" w:rsidR="00182008" w:rsidRPr="008C63EF" w:rsidRDefault="00182008" w:rsidP="00ED6B2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Splňuje standardním způsobem</w:t>
            </w:r>
          </w:p>
          <w:p w14:paraId="25576B8C" w14:textId="77777777" w:rsidR="00182008" w:rsidRPr="008C63EF" w:rsidRDefault="00182008" w:rsidP="00ED6B2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 xml:space="preserve">Metodika implementace zohledňuje v plném rozsahu požadavky stanovené v zadávací dokumentaci, obsahuje </w:t>
            </w:r>
            <w:r w:rsidRPr="008C63EF">
              <w:rPr>
                <w:rFonts w:ascii="Times New Roman" w:hAnsi="Times New Roman"/>
                <w:bCs/>
                <w:sz w:val="20"/>
                <w:szCs w:val="20"/>
              </w:rPr>
              <w:t>detailní a jednoznačný popis postupu uchazeče při realizaci předmětu plnění, který kritické body realizace zakázky a přístup k nim popisuje spíše obecně, aniž by z nabídky bylo patrné, že dodavatel disponuje  know-how v oblasti jejich řešení.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25C5A072" w14:textId="77777777" w:rsidR="00182008" w:rsidRPr="008C63EF" w:rsidRDefault="00182008" w:rsidP="00ED6B2C">
            <w:pPr>
              <w:rPr>
                <w:rFonts w:ascii="Times New Roman" w:hAnsi="Times New Roman"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>20 bodů</w:t>
            </w:r>
          </w:p>
        </w:tc>
      </w:tr>
      <w:tr w:rsidR="00182008" w:rsidRPr="008C63EF" w14:paraId="6E4D1D1A" w14:textId="77777777" w:rsidTr="00ED6B2C">
        <w:tc>
          <w:tcPr>
            <w:tcW w:w="947" w:type="pct"/>
            <w:shd w:val="clear" w:color="auto" w:fill="auto"/>
          </w:tcPr>
          <w:p w14:paraId="50967D84" w14:textId="77777777" w:rsidR="00182008" w:rsidRPr="008C63EF" w:rsidRDefault="00182008" w:rsidP="00ED6B2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6" w:type="pct"/>
            <w:shd w:val="clear" w:color="auto" w:fill="auto"/>
          </w:tcPr>
          <w:p w14:paraId="385A11FC" w14:textId="77777777" w:rsidR="00182008" w:rsidRPr="008C63EF" w:rsidRDefault="00182008" w:rsidP="00ED6B2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Naplňuje pouze v minimální nezbytné míře</w:t>
            </w:r>
          </w:p>
          <w:p w14:paraId="7270D300" w14:textId="77777777" w:rsidR="00182008" w:rsidRPr="008C63EF" w:rsidRDefault="00182008" w:rsidP="00ED6B2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>Metodika implementace zohledňuje v plném rozsahu požadavky stanovené v zadávací dokumentaci, ale nezahrnuje podrobnější</w:t>
            </w:r>
            <w:r w:rsidRPr="008C63EF">
              <w:rPr>
                <w:rFonts w:ascii="Times New Roman" w:hAnsi="Times New Roman"/>
                <w:bCs/>
                <w:sz w:val="20"/>
                <w:szCs w:val="20"/>
              </w:rPr>
              <w:t xml:space="preserve"> popis postupu uchazeče při realizaci předmětu plnění, nepopisuje v detailu kritické body realizace zakázky a přístup k nim.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6D5B9AC3" w14:textId="77777777" w:rsidR="00182008" w:rsidRPr="008C63EF" w:rsidRDefault="00182008" w:rsidP="00ED6B2C">
            <w:pPr>
              <w:rPr>
                <w:rFonts w:ascii="Times New Roman" w:hAnsi="Times New Roman"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>1 bod</w:t>
            </w:r>
          </w:p>
        </w:tc>
      </w:tr>
      <w:tr w:rsidR="00182008" w:rsidRPr="008C63EF" w14:paraId="22836D2A" w14:textId="77777777" w:rsidTr="00ED6B2C">
        <w:tc>
          <w:tcPr>
            <w:tcW w:w="947" w:type="pct"/>
            <w:shd w:val="clear" w:color="auto" w:fill="auto"/>
          </w:tcPr>
          <w:p w14:paraId="1F626ECD" w14:textId="77777777" w:rsidR="00182008" w:rsidRPr="008C63EF" w:rsidRDefault="00182008" w:rsidP="00ED6B2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bCs/>
                <w:sz w:val="20"/>
                <w:szCs w:val="20"/>
              </w:rPr>
              <w:t>Kompatibilita se současným prostředím</w:t>
            </w:r>
          </w:p>
        </w:tc>
        <w:tc>
          <w:tcPr>
            <w:tcW w:w="3476" w:type="pct"/>
            <w:shd w:val="clear" w:color="auto" w:fill="auto"/>
          </w:tcPr>
          <w:p w14:paraId="1E4167CC" w14:textId="77777777" w:rsidR="00182008" w:rsidRPr="008C63EF" w:rsidRDefault="00182008" w:rsidP="00ED6B2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Splňuje v celém rozsahu</w:t>
            </w:r>
          </w:p>
          <w:p w14:paraId="4E37AEDC" w14:textId="77777777" w:rsidR="00182008" w:rsidRPr="008C63EF" w:rsidRDefault="00182008" w:rsidP="00ED6B2C">
            <w:pPr>
              <w:rPr>
                <w:rFonts w:ascii="Times New Roman" w:hAnsi="Times New Roman"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 xml:space="preserve">Metodika implementace přesvědčivě demonstruje zohlednění stávajícího prostředí zadavatele v návrhu technického řešení v plném rozsahu, z metodiky jednoznačně vyplývá, </w:t>
            </w:r>
            <w:r w:rsidRPr="008C63EF">
              <w:rPr>
                <w:rFonts w:ascii="Times New Roman" w:hAnsi="Times New Roman"/>
                <w:bCs/>
                <w:sz w:val="20"/>
                <w:szCs w:val="20"/>
              </w:rPr>
              <w:t xml:space="preserve">že implementované řešení je plně kompatibilní se současným prostředím zadavatele. Metodika implementace zároveň jasně definuje kritické body pro zajištění kompatibility se stávajícím prostředím </w:t>
            </w:r>
            <w:r w:rsidRPr="008C63E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zadavatele a přístup k nim a z popisu je patrné, že dodavatel disponuje know-how v oblasti jejich řešení.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93C1F23" w14:textId="77777777" w:rsidR="00182008" w:rsidRPr="008C63EF" w:rsidRDefault="00182008" w:rsidP="00ED6B2C">
            <w:pPr>
              <w:rPr>
                <w:rFonts w:ascii="Times New Roman" w:hAnsi="Times New Roman"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lastRenderedPageBreak/>
              <w:t>20 bodů</w:t>
            </w:r>
          </w:p>
        </w:tc>
      </w:tr>
      <w:tr w:rsidR="00182008" w:rsidRPr="008C63EF" w14:paraId="06976A7C" w14:textId="77777777" w:rsidTr="00ED6B2C">
        <w:tc>
          <w:tcPr>
            <w:tcW w:w="947" w:type="pct"/>
            <w:shd w:val="clear" w:color="auto" w:fill="auto"/>
          </w:tcPr>
          <w:p w14:paraId="26FFA9DE" w14:textId="77777777" w:rsidR="00182008" w:rsidRPr="008C63EF" w:rsidRDefault="00182008" w:rsidP="00ED6B2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6" w:type="pct"/>
            <w:shd w:val="clear" w:color="auto" w:fill="auto"/>
          </w:tcPr>
          <w:p w14:paraId="392479AC" w14:textId="77777777" w:rsidR="00182008" w:rsidRPr="008C63EF" w:rsidRDefault="00182008" w:rsidP="00ED6B2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Splňuje částečně</w:t>
            </w:r>
          </w:p>
          <w:p w14:paraId="475C9506" w14:textId="77777777" w:rsidR="00182008" w:rsidRPr="008C63EF" w:rsidRDefault="00182008" w:rsidP="00ED6B2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 xml:space="preserve">Metodika implementace demonstruje zohlednění stávajícího prostředí zadavatele v návrhu technického řešení v  plném rozsahu, z metodiky vyplývá, </w:t>
            </w:r>
            <w:r w:rsidRPr="008C63EF">
              <w:rPr>
                <w:rFonts w:ascii="Times New Roman" w:hAnsi="Times New Roman"/>
                <w:bCs/>
                <w:sz w:val="20"/>
                <w:szCs w:val="20"/>
              </w:rPr>
              <w:t>že implementované řešení je plně kompatibilní se současným prostředím zadavatele, nicméně nejsou uvedena specifická opatření zajišťující či garantující zajištění kompatibility.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5CDE357" w14:textId="77777777" w:rsidR="00182008" w:rsidRPr="008C63EF" w:rsidRDefault="00182008" w:rsidP="00ED6B2C">
            <w:pPr>
              <w:rPr>
                <w:rFonts w:ascii="Times New Roman" w:hAnsi="Times New Roman"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>10 bodů</w:t>
            </w:r>
          </w:p>
        </w:tc>
      </w:tr>
      <w:tr w:rsidR="009C2F89" w:rsidRPr="008C63EF" w14:paraId="6BA04950" w14:textId="77777777" w:rsidTr="00ED6B2C">
        <w:tc>
          <w:tcPr>
            <w:tcW w:w="947" w:type="pct"/>
            <w:shd w:val="clear" w:color="auto" w:fill="auto"/>
          </w:tcPr>
          <w:p w14:paraId="0140E3BE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6" w:type="pct"/>
            <w:shd w:val="clear" w:color="auto" w:fill="auto"/>
          </w:tcPr>
          <w:p w14:paraId="1E8CED39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Naplňuje pouze v minimální nezbytné míře</w:t>
            </w:r>
          </w:p>
          <w:p w14:paraId="316DA7FF" w14:textId="1F75572F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>Metodika implementace zohledňuje v plném rozsahu požadavky stanovené v zadávací dokumentaci, ale nezahrnuje podrobnější</w:t>
            </w:r>
            <w:r w:rsidRPr="008C63EF">
              <w:rPr>
                <w:rFonts w:ascii="Times New Roman" w:hAnsi="Times New Roman"/>
                <w:bCs/>
                <w:sz w:val="20"/>
                <w:szCs w:val="20"/>
              </w:rPr>
              <w:t xml:space="preserve"> popis postupu uchazeče při realizaci předmětu plnění, nepopisuje v detailu kritické body realizace zakázky a přístup k nim.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56D2AF6A" w14:textId="739E77BE" w:rsidR="009C2F89" w:rsidRPr="008C63EF" w:rsidRDefault="009C2F89" w:rsidP="009C2F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 bodů</w:t>
            </w:r>
          </w:p>
        </w:tc>
      </w:tr>
      <w:tr w:rsidR="009C2F89" w:rsidRPr="008C63EF" w14:paraId="7D24C069" w14:textId="77777777" w:rsidTr="00ED6B2C">
        <w:tc>
          <w:tcPr>
            <w:tcW w:w="947" w:type="pct"/>
            <w:shd w:val="clear" w:color="auto" w:fill="auto"/>
          </w:tcPr>
          <w:p w14:paraId="79DCBD68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bCs/>
                <w:sz w:val="20"/>
                <w:szCs w:val="20"/>
              </w:rPr>
              <w:t>Optimalizace zachování a využití stávajících investic</w:t>
            </w:r>
          </w:p>
        </w:tc>
        <w:tc>
          <w:tcPr>
            <w:tcW w:w="3476" w:type="pct"/>
            <w:shd w:val="clear" w:color="auto" w:fill="auto"/>
          </w:tcPr>
          <w:p w14:paraId="245B3EFC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Splňuje nadstandardním způsobem</w:t>
            </w:r>
          </w:p>
          <w:p w14:paraId="5B8C1B4B" w14:textId="77777777" w:rsidR="009C2F89" w:rsidRPr="008C63EF" w:rsidRDefault="009C2F89" w:rsidP="009C2F89">
            <w:pPr>
              <w:rPr>
                <w:rFonts w:ascii="Times New Roman" w:hAnsi="Times New Roman"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 xml:space="preserve">Metodika implementace obsahuje </w:t>
            </w:r>
            <w:r w:rsidRPr="008C63EF">
              <w:rPr>
                <w:rFonts w:ascii="Times New Roman" w:hAnsi="Times New Roman"/>
                <w:bCs/>
                <w:sz w:val="20"/>
                <w:szCs w:val="20"/>
              </w:rPr>
              <w:t>detailní a jednoznačný popis postupu uchazeče při optimalizaci zachování a využití stávajících investic, přičemž zahrnuje postupy či aspekty dokládající promyšlený či inovativní přístup k zachování a využití stávajících investic.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28FFEC9B" w14:textId="77777777" w:rsidR="009C2F89" w:rsidRPr="008C63EF" w:rsidRDefault="009C2F89" w:rsidP="009C2F89">
            <w:pPr>
              <w:rPr>
                <w:rFonts w:ascii="Times New Roman" w:hAnsi="Times New Roman"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>10 bodů</w:t>
            </w:r>
          </w:p>
        </w:tc>
      </w:tr>
      <w:tr w:rsidR="009C2F89" w:rsidRPr="008C63EF" w14:paraId="7D3DADD4" w14:textId="77777777" w:rsidTr="00ED6B2C">
        <w:tc>
          <w:tcPr>
            <w:tcW w:w="947" w:type="pct"/>
            <w:shd w:val="clear" w:color="auto" w:fill="auto"/>
          </w:tcPr>
          <w:p w14:paraId="05F66EA4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6" w:type="pct"/>
            <w:shd w:val="clear" w:color="auto" w:fill="auto"/>
          </w:tcPr>
          <w:p w14:paraId="59FF2BAB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Splňuje standardním způsobem</w:t>
            </w:r>
          </w:p>
          <w:p w14:paraId="2D3B31C3" w14:textId="77777777" w:rsidR="009C2F89" w:rsidRPr="008C63EF" w:rsidRDefault="009C2F89" w:rsidP="009C2F89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 xml:space="preserve">Metodika implementace obsahuje </w:t>
            </w:r>
            <w:r w:rsidRPr="008C63EF">
              <w:rPr>
                <w:rFonts w:ascii="Times New Roman" w:hAnsi="Times New Roman"/>
                <w:bCs/>
                <w:sz w:val="20"/>
                <w:szCs w:val="20"/>
              </w:rPr>
              <w:t>detailní a jednoznačný popis postupu uchazeče při optimalizaci zachování a využití stávajících investic, přístup dodavatele k zachování a využití stávajících investic však nenese prvky inovativnosti či originálního know-how.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52F0DC3B" w14:textId="77777777" w:rsidR="009C2F89" w:rsidRPr="008C63EF" w:rsidRDefault="009C2F89" w:rsidP="009C2F89">
            <w:pPr>
              <w:rPr>
                <w:rFonts w:ascii="Times New Roman" w:hAnsi="Times New Roman"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>5 bodů</w:t>
            </w:r>
          </w:p>
        </w:tc>
      </w:tr>
      <w:tr w:rsidR="009C2F89" w:rsidRPr="008C63EF" w14:paraId="3E0E0956" w14:textId="77777777" w:rsidTr="00ED6B2C">
        <w:tc>
          <w:tcPr>
            <w:tcW w:w="947" w:type="pct"/>
            <w:shd w:val="clear" w:color="auto" w:fill="auto"/>
          </w:tcPr>
          <w:p w14:paraId="42429B85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6" w:type="pct"/>
            <w:shd w:val="clear" w:color="auto" w:fill="auto"/>
          </w:tcPr>
          <w:p w14:paraId="105520C0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Naplňuje pouze v minimální nezbytné míře</w:t>
            </w:r>
          </w:p>
          <w:p w14:paraId="2CD61AA7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 xml:space="preserve">Metodika implementace obsahuje pouze obecný a nekonkrétní </w:t>
            </w:r>
            <w:r w:rsidRPr="008C63EF">
              <w:rPr>
                <w:rFonts w:ascii="Times New Roman" w:hAnsi="Times New Roman"/>
                <w:bCs/>
                <w:sz w:val="20"/>
                <w:szCs w:val="20"/>
              </w:rPr>
              <w:t>popis postupu uchazeče při optimalizaci zachování a využití stávajících investic.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2CC93549" w14:textId="77777777" w:rsidR="009C2F89" w:rsidRPr="008C63EF" w:rsidRDefault="009C2F89" w:rsidP="009C2F89">
            <w:pPr>
              <w:rPr>
                <w:rFonts w:ascii="Times New Roman" w:hAnsi="Times New Roman"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>0 bodů</w:t>
            </w:r>
          </w:p>
        </w:tc>
      </w:tr>
      <w:tr w:rsidR="009C2F89" w:rsidRPr="008C63EF" w14:paraId="1272FAB5" w14:textId="77777777" w:rsidTr="00ED6B2C">
        <w:tc>
          <w:tcPr>
            <w:tcW w:w="947" w:type="pct"/>
            <w:shd w:val="clear" w:color="auto" w:fill="auto"/>
          </w:tcPr>
          <w:p w14:paraId="3B88FD96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bCs/>
                <w:sz w:val="20"/>
                <w:szCs w:val="20"/>
              </w:rPr>
              <w:t>Uplatnění doporučených postupů</w:t>
            </w:r>
          </w:p>
        </w:tc>
        <w:tc>
          <w:tcPr>
            <w:tcW w:w="3476" w:type="pct"/>
            <w:shd w:val="clear" w:color="auto" w:fill="auto"/>
          </w:tcPr>
          <w:p w14:paraId="11753910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Splňuje nadstandardním způsobem</w:t>
            </w:r>
          </w:p>
          <w:p w14:paraId="591ADEEC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 xml:space="preserve">Metodika implementace </w:t>
            </w:r>
            <w:r w:rsidRPr="008C63EF">
              <w:rPr>
                <w:rFonts w:ascii="Times New Roman" w:hAnsi="Times New Roman"/>
                <w:bCs/>
                <w:sz w:val="20"/>
                <w:szCs w:val="20"/>
              </w:rPr>
              <w:t xml:space="preserve">popisuje velmi propracovaně a synopticky (tedy ve vzájemné provázanosti) systém doporučených postupů výrobců dodávaných zařízení a tzv. best practice (nejlepších praktik), které bude uplatňovat při realizaci zakázky. Z popisu je evidentní vysoký stupeň znalosti doporučených postupů a best practices a patrné know-how při jejich praktické aplikaci.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6E6E1D7" w14:textId="77777777" w:rsidR="009C2F89" w:rsidRPr="008C63EF" w:rsidRDefault="009C2F89" w:rsidP="009C2F89">
            <w:pPr>
              <w:rPr>
                <w:rFonts w:ascii="Times New Roman" w:hAnsi="Times New Roman"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>10 bodů</w:t>
            </w:r>
          </w:p>
        </w:tc>
      </w:tr>
      <w:tr w:rsidR="009C2F89" w:rsidRPr="008C63EF" w14:paraId="0C04BBC7" w14:textId="77777777" w:rsidTr="00ED6B2C">
        <w:tc>
          <w:tcPr>
            <w:tcW w:w="947" w:type="pct"/>
            <w:shd w:val="clear" w:color="auto" w:fill="auto"/>
          </w:tcPr>
          <w:p w14:paraId="6008A022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6" w:type="pct"/>
            <w:shd w:val="clear" w:color="auto" w:fill="auto"/>
          </w:tcPr>
          <w:p w14:paraId="45F422E6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Splňuje standardním způsobem</w:t>
            </w:r>
            <w:r w:rsidRPr="008C63EF" w:rsidDel="00EA16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41EBB6A2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 xml:space="preserve">Metodika implementace </w:t>
            </w:r>
            <w:r w:rsidRPr="008C63EF">
              <w:rPr>
                <w:rFonts w:ascii="Times New Roman" w:hAnsi="Times New Roman"/>
                <w:bCs/>
                <w:sz w:val="20"/>
                <w:szCs w:val="20"/>
              </w:rPr>
              <w:t>popisuje systém doporučených postupů výrobců dodávaných zařízení a tzv. best practice (nejlepších praktik), které bude uplatňovat při realizaci zakázky, avšak není z ní blíže patrná provázanost těchto jednotlivých postupů a propracovaný postup při jejich aplikaci v praxi.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0ACA3FF8" w14:textId="77777777" w:rsidR="009C2F89" w:rsidRPr="008C63EF" w:rsidRDefault="009C2F89" w:rsidP="009C2F89">
            <w:pPr>
              <w:rPr>
                <w:rFonts w:ascii="Times New Roman" w:hAnsi="Times New Roman"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>5 bodů</w:t>
            </w:r>
          </w:p>
        </w:tc>
      </w:tr>
      <w:tr w:rsidR="009C2F89" w:rsidRPr="008C63EF" w14:paraId="56D8BA28" w14:textId="77777777" w:rsidTr="00ED6B2C">
        <w:tc>
          <w:tcPr>
            <w:tcW w:w="947" w:type="pct"/>
            <w:shd w:val="clear" w:color="auto" w:fill="auto"/>
          </w:tcPr>
          <w:p w14:paraId="2CA47AFD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6" w:type="pct"/>
            <w:shd w:val="clear" w:color="auto" w:fill="auto"/>
          </w:tcPr>
          <w:p w14:paraId="3D0F1081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Nesplňuje</w:t>
            </w:r>
          </w:p>
          <w:p w14:paraId="05F9017B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 xml:space="preserve">Metodika implementace neobsahuje </w:t>
            </w:r>
            <w:r w:rsidRPr="008C63EF">
              <w:rPr>
                <w:rFonts w:ascii="Times New Roman" w:hAnsi="Times New Roman"/>
                <w:bCs/>
                <w:sz w:val="20"/>
                <w:szCs w:val="20"/>
              </w:rPr>
              <w:t xml:space="preserve">detailní popis uplatnění doporučených postupů výrobců dodávaných zařízení a tzv. best practice (nejlepších praktik) při implementaci, je v tomto směru spíše obecná a nekonkrétní (spíše v rovině obecné proklamace o dodržování doporučených postupů a tzv. best practices) 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3CBA6C47" w14:textId="77777777" w:rsidR="009C2F89" w:rsidRPr="008C63EF" w:rsidRDefault="009C2F89" w:rsidP="009C2F89">
            <w:pPr>
              <w:rPr>
                <w:rFonts w:ascii="Times New Roman" w:hAnsi="Times New Roman"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>0 bodů</w:t>
            </w:r>
          </w:p>
        </w:tc>
      </w:tr>
      <w:tr w:rsidR="009C2F89" w:rsidRPr="008C63EF" w14:paraId="353A9C54" w14:textId="77777777" w:rsidTr="00ED6B2C">
        <w:tc>
          <w:tcPr>
            <w:tcW w:w="947" w:type="pct"/>
            <w:shd w:val="clear" w:color="auto" w:fill="auto"/>
          </w:tcPr>
          <w:p w14:paraId="536A6C9E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bCs/>
                <w:sz w:val="20"/>
                <w:szCs w:val="20"/>
              </w:rPr>
              <w:t>Minimalizace kapacitní náročnosti</w:t>
            </w:r>
          </w:p>
        </w:tc>
        <w:tc>
          <w:tcPr>
            <w:tcW w:w="3476" w:type="pct"/>
            <w:shd w:val="clear" w:color="auto" w:fill="auto"/>
          </w:tcPr>
          <w:p w14:paraId="34D5CC4E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Splňuje v celém rozsahu</w:t>
            </w:r>
          </w:p>
          <w:p w14:paraId="090B9D30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 xml:space="preserve">Navržený </w:t>
            </w:r>
            <w:r w:rsidRPr="008C63EF">
              <w:rPr>
                <w:rFonts w:ascii="Times New Roman" w:hAnsi="Times New Roman"/>
                <w:bCs/>
                <w:sz w:val="20"/>
                <w:szCs w:val="20"/>
              </w:rPr>
              <w:t>postup implementace garantuje díky konkrétním navrženým opatřením, že bude minimalizována kapacitní náročnost na zadavatele (zajištění součinnosti, tj. zajištění personálních kapacit zadavatele) při realizaci předmětu plnění.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D99ED8B" w14:textId="77777777" w:rsidR="009C2F89" w:rsidRPr="008C63EF" w:rsidRDefault="009C2F89" w:rsidP="009C2F89">
            <w:pPr>
              <w:rPr>
                <w:rFonts w:ascii="Times New Roman" w:hAnsi="Times New Roman"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>10 bodů</w:t>
            </w:r>
          </w:p>
        </w:tc>
      </w:tr>
      <w:tr w:rsidR="009C2F89" w:rsidRPr="008C63EF" w14:paraId="4C53A353" w14:textId="77777777" w:rsidTr="00ED6B2C">
        <w:tc>
          <w:tcPr>
            <w:tcW w:w="947" w:type="pct"/>
            <w:shd w:val="clear" w:color="auto" w:fill="auto"/>
          </w:tcPr>
          <w:p w14:paraId="248C0A26" w14:textId="77777777" w:rsidR="009C2F89" w:rsidRPr="008C63EF" w:rsidRDefault="009C2F89" w:rsidP="009C2F8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76" w:type="pct"/>
            <w:shd w:val="clear" w:color="auto" w:fill="auto"/>
          </w:tcPr>
          <w:p w14:paraId="2B6E2028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Splňuje částečně</w:t>
            </w:r>
          </w:p>
          <w:p w14:paraId="3AD47BE4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 xml:space="preserve">Navržený </w:t>
            </w:r>
            <w:r w:rsidRPr="008C63EF">
              <w:rPr>
                <w:rFonts w:ascii="Times New Roman" w:hAnsi="Times New Roman"/>
                <w:bCs/>
                <w:sz w:val="20"/>
                <w:szCs w:val="20"/>
              </w:rPr>
              <w:t>postup implementace minimalizuje kapacitní náročnost na zadavatele (zajištění součinnosti, tj. zajištění personálních kapacit zadavatele) pouze v obecné rovině (tedy nikoli formou konkrétních opatření) nebo negarantuje, že při realizaci předmětu plnění budou nároky na personál zadavatele minimalizovány v maximální možné míře.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04A1C01C" w14:textId="77777777" w:rsidR="009C2F89" w:rsidRPr="008C63EF" w:rsidRDefault="009C2F89" w:rsidP="009C2F89">
            <w:pPr>
              <w:rPr>
                <w:rFonts w:ascii="Times New Roman" w:hAnsi="Times New Roman"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>5 bodů</w:t>
            </w:r>
          </w:p>
        </w:tc>
      </w:tr>
      <w:tr w:rsidR="009C2F89" w:rsidRPr="008C63EF" w14:paraId="6CE6FD74" w14:textId="77777777" w:rsidTr="00ED6B2C">
        <w:tc>
          <w:tcPr>
            <w:tcW w:w="947" w:type="pct"/>
            <w:shd w:val="clear" w:color="auto" w:fill="auto"/>
          </w:tcPr>
          <w:p w14:paraId="3FAD86FC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6" w:type="pct"/>
            <w:shd w:val="clear" w:color="auto" w:fill="auto"/>
          </w:tcPr>
          <w:p w14:paraId="7F205798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b/>
                <w:sz w:val="20"/>
                <w:szCs w:val="20"/>
              </w:rPr>
              <w:t>Nesplňuje</w:t>
            </w:r>
          </w:p>
          <w:p w14:paraId="16CD718F" w14:textId="77777777" w:rsidR="009C2F89" w:rsidRPr="008C63EF" w:rsidRDefault="009C2F89" w:rsidP="009C2F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 xml:space="preserve">Metodika implementace </w:t>
            </w:r>
            <w:r w:rsidRPr="008C63EF">
              <w:rPr>
                <w:rFonts w:ascii="Times New Roman" w:hAnsi="Times New Roman"/>
                <w:bCs/>
                <w:sz w:val="20"/>
                <w:szCs w:val="20"/>
              </w:rPr>
              <w:t>nezajistí minimalizaci kapacitní náročnosti na zadavatele (zajištění součinnosti, tj. zajištění personálních kapacit zadavatele) při realizaci předmětu plnění, popřípadě je v tomto ohledu zcela obecná a nekonkrétní.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628A40DB" w14:textId="77777777" w:rsidR="009C2F89" w:rsidRPr="008C63EF" w:rsidRDefault="009C2F89" w:rsidP="009C2F89">
            <w:pPr>
              <w:rPr>
                <w:rFonts w:ascii="Times New Roman" w:hAnsi="Times New Roman"/>
                <w:sz w:val="20"/>
                <w:szCs w:val="20"/>
              </w:rPr>
            </w:pPr>
            <w:r w:rsidRPr="008C63EF">
              <w:rPr>
                <w:rFonts w:ascii="Times New Roman" w:hAnsi="Times New Roman"/>
                <w:sz w:val="20"/>
                <w:szCs w:val="20"/>
              </w:rPr>
              <w:t>0 bodů</w:t>
            </w:r>
          </w:p>
        </w:tc>
      </w:tr>
    </w:tbl>
    <w:p w14:paraId="4CCAAACC" w14:textId="77777777" w:rsidR="0092695E" w:rsidRPr="00DC1C95" w:rsidRDefault="0092695E" w:rsidP="002C5DB7"/>
    <w:p w14:paraId="6098723A" w14:textId="77777777" w:rsidR="00B756FD" w:rsidRPr="00A36D73" w:rsidRDefault="00B756FD" w:rsidP="00B756FD">
      <w:pPr>
        <w:pStyle w:val="PFI-odstavec"/>
      </w:pPr>
      <w:r w:rsidRPr="00E76AA6">
        <w:t>Nejlépe bude hodnocena nabídka, která</w:t>
      </w:r>
      <w:r>
        <w:t xml:space="preserve"> získá nejvíce bodů za technickou úroveň nabízeného řešení podle tabulek hodnocených technických parametrů (hodnotící tabulka), která </w:t>
      </w:r>
      <w:r w:rsidRPr="00A36D73">
        <w:t>je uvedena v Příloze 3</w:t>
      </w:r>
      <w:r>
        <w:t>.a</w:t>
      </w:r>
      <w:r w:rsidRPr="00A36D73">
        <w:t xml:space="preserve"> – Technická specifikace, kapitola 4.</w:t>
      </w:r>
    </w:p>
    <w:p w14:paraId="5362FF40" w14:textId="77777777" w:rsidR="00B756FD" w:rsidRPr="00A36D73" w:rsidRDefault="00B756FD" w:rsidP="00B756FD">
      <w:pPr>
        <w:pStyle w:val="PFI-pismeno"/>
        <w:numPr>
          <w:ilvl w:val="0"/>
          <w:numId w:val="0"/>
        </w:numPr>
      </w:pPr>
      <w:r w:rsidRPr="00A36D73">
        <w:t xml:space="preserve">Nabídka získá 1 bod za každý prokazatelně zcela splněný požadavek z hodnotících tabulek (pokud nabízené řešení splňuje požadavek pouze částečně nebo je nesplňuje vůbec, nezíská </w:t>
      </w:r>
      <w:r>
        <w:t xml:space="preserve">za takový požadavek </w:t>
      </w:r>
      <w:r w:rsidRPr="00A36D73">
        <w:t>nabídka žádný bod</w:t>
      </w:r>
      <w:r>
        <w:t>)</w:t>
      </w:r>
      <w:r w:rsidRPr="00A36D73">
        <w:t>.</w:t>
      </w:r>
    </w:p>
    <w:p w14:paraId="17E70E79" w14:textId="77777777" w:rsidR="00B756FD" w:rsidRDefault="00B756FD" w:rsidP="00B756FD">
      <w:pPr>
        <w:pStyle w:val="PFI-pismeno"/>
        <w:numPr>
          <w:ilvl w:val="0"/>
          <w:numId w:val="0"/>
        </w:numPr>
      </w:pPr>
      <w:r>
        <w:t>U</w:t>
      </w:r>
      <w:r w:rsidRPr="00C927B3">
        <w:t xml:space="preserve">chazeč je povinen </w:t>
      </w:r>
      <w:r>
        <w:t>hodnotící tabulku vyplnit takovým způsobem, aby zadavatel mohl bez pochybností pro každou položku tabulky určit a ověřit počet bodů, které nabídka získala.</w:t>
      </w:r>
    </w:p>
    <w:p w14:paraId="1622F1BB" w14:textId="77777777" w:rsidR="00B756FD" w:rsidRPr="00E76AA6" w:rsidRDefault="00B756FD" w:rsidP="00B756FD">
      <w:pPr>
        <w:pStyle w:val="PFI-odstavec"/>
        <w:numPr>
          <w:ilvl w:val="0"/>
          <w:numId w:val="0"/>
        </w:numPr>
      </w:pPr>
      <w:r w:rsidRPr="001F005B">
        <w:t xml:space="preserve">Hodnocení nabídky v rámci tohoto dílčího hodnotícího kritéria bude dáno součtem bodů přidělených nabídce </w:t>
      </w:r>
      <w:r>
        <w:t>za jednotlivé požadavky</w:t>
      </w:r>
      <w:r w:rsidRPr="00E76AA6">
        <w:t>.</w:t>
      </w:r>
    </w:p>
    <w:p w14:paraId="50B92EAD" w14:textId="77777777" w:rsidR="004C1A15" w:rsidRDefault="004C1A15" w:rsidP="004C1A15">
      <w:pPr>
        <w:pStyle w:val="Nadpis3"/>
      </w:pPr>
      <w:r>
        <w:t>Společná ustanovení pro hodnocení nabídek</w:t>
      </w:r>
    </w:p>
    <w:p w14:paraId="6B408A19" w14:textId="73F8983F" w:rsidR="00224B40" w:rsidRPr="00E76AA6" w:rsidRDefault="00226089" w:rsidP="00E63933">
      <w:pPr>
        <w:pStyle w:val="PFI-odstavec"/>
      </w:pPr>
      <w:r w:rsidRPr="00226089">
        <w:t xml:space="preserve">Dodavatel </w:t>
      </w:r>
      <w:r w:rsidR="00224B40" w:rsidRPr="00E76AA6">
        <w:t xml:space="preserve">není oprávněn nijak podmiňovat hodnoty, které jsou předmětem hodnocení, dalšími podmínkami. Takovéto podmínění je důvodem pro vyřazení nabídky a vyloučení </w:t>
      </w:r>
      <w:r>
        <w:t>dodavatel</w:t>
      </w:r>
      <w:r w:rsidR="00224B40" w:rsidRPr="00E76AA6">
        <w:t xml:space="preserve">e ze zadávacího řízení. Obdobně bude zadavatel postupovat v případě, že </w:t>
      </w:r>
      <w:r w:rsidR="0036380B" w:rsidRPr="0036380B">
        <w:t xml:space="preserve">dodavatel </w:t>
      </w:r>
      <w:r w:rsidR="00224B40" w:rsidRPr="00E76AA6">
        <w:t xml:space="preserve">uvede několik rozdílných hodnot pro jedno konkrétní kritérium </w:t>
      </w:r>
      <w:r w:rsidR="00E63933" w:rsidRPr="00E63933">
        <w:t xml:space="preserve">hodnocení </w:t>
      </w:r>
      <w:r w:rsidR="008928F8" w:rsidRPr="00E76AA6">
        <w:t xml:space="preserve">(s výjimkou případů, kdy půjde o zjevnou chybu v psaní nebo snadno a jednoznačně odůvodnitelnou chybu v nabídce) </w:t>
      </w:r>
      <w:r w:rsidR="00224B40" w:rsidRPr="00E76AA6">
        <w:t>nebo dojde k uvedení hodnoty, která je předmětem hodnocení, v jiné veličině či formě než zadavatel požaduje v zadávacích podmínkách</w:t>
      </w:r>
      <w:r w:rsidR="00277843" w:rsidRPr="00E76AA6">
        <w:t xml:space="preserve"> (s výjimkou případů, kdy lze provést jednoznačný přepočet na požadovanou veličinu</w:t>
      </w:r>
      <w:r w:rsidR="0069034A" w:rsidRPr="00E76AA6">
        <w:t xml:space="preserve"> či formu</w:t>
      </w:r>
      <w:r w:rsidR="00277843" w:rsidRPr="00E76AA6">
        <w:t>)</w:t>
      </w:r>
      <w:r w:rsidR="00224B40" w:rsidRPr="00E76AA6">
        <w:t>.</w:t>
      </w:r>
    </w:p>
    <w:p w14:paraId="25FEC676" w14:textId="77777777" w:rsidR="00730BC4" w:rsidRPr="00E76AA6" w:rsidRDefault="00730BC4" w:rsidP="00E63933">
      <w:pPr>
        <w:pStyle w:val="PFI-odstavec"/>
      </w:pPr>
      <w:bookmarkStart w:id="68" w:name="_Ref257647101"/>
      <w:r w:rsidRPr="00E76AA6">
        <w:t xml:space="preserve">Jsou-li pro hodnoty dílčího kritéria </w:t>
      </w:r>
      <w:r w:rsidR="00E63933" w:rsidRPr="00E63933">
        <w:t xml:space="preserve">hodnocení </w:t>
      </w:r>
      <w:r w:rsidRPr="00E76AA6">
        <w:t xml:space="preserve">jiného, než je cena, stanoveny v zadávacích podmínkách mezní (minimální či </w:t>
      </w:r>
      <w:r w:rsidRPr="004C1A15">
        <w:t>maximální</w:t>
      </w:r>
      <w:r w:rsidRPr="00E76AA6">
        <w:t xml:space="preserve">) hodnoty, nabídka některého </w:t>
      </w:r>
      <w:r w:rsidR="00226089" w:rsidRPr="00226089">
        <w:t>účastníka zadávacího řízení</w:t>
      </w:r>
      <w:r w:rsidR="00226089">
        <w:t xml:space="preserve"> </w:t>
      </w:r>
      <w:r w:rsidRPr="00E76AA6">
        <w:t>tyto stanovené mezní hodnoty nedodrží a v zadávacích podmínkách není ustanoveno</w:t>
      </w:r>
      <w:r w:rsidR="001D140C" w:rsidRPr="00E76AA6">
        <w:t xml:space="preserve"> jinak</w:t>
      </w:r>
      <w:r w:rsidRPr="00E76AA6">
        <w:t xml:space="preserve">, bude této nabídce v rámci tohoto dílčího kritéria </w:t>
      </w:r>
      <w:r w:rsidR="00E63933" w:rsidRPr="00E63933">
        <w:t xml:space="preserve">hodnocení </w:t>
      </w:r>
      <w:r w:rsidRPr="00E76AA6">
        <w:t>přiřazeno 0 bodů.</w:t>
      </w:r>
      <w:bookmarkEnd w:id="68"/>
    </w:p>
    <w:p w14:paraId="3A106D91" w14:textId="77777777" w:rsidR="00224B40" w:rsidRPr="00E76AA6" w:rsidRDefault="00401D8C" w:rsidP="00104D65">
      <w:pPr>
        <w:pStyle w:val="PFI-odstavec"/>
      </w:pPr>
      <w:r>
        <w:t>Pokud dojde k tomu, že dvě či více nabídek budou hodnoceny shodně jako nejvýhodnější, zadavatel vybere jako nejvýhodnější tu ze shodně nejlépe hodnocených nabídek, která byla zadavateli doručena jako první</w:t>
      </w:r>
      <w:r w:rsidR="00224B40" w:rsidRPr="00E76AA6">
        <w:t>.</w:t>
      </w:r>
    </w:p>
    <w:p w14:paraId="20E1EB54" w14:textId="77777777" w:rsidR="00AC7367" w:rsidRPr="00E76AA6" w:rsidRDefault="00896D1E" w:rsidP="00954863">
      <w:pPr>
        <w:pStyle w:val="Nadpis2"/>
      </w:pPr>
      <w:bookmarkStart w:id="69" w:name="_Ref257647098"/>
      <w:r w:rsidRPr="00954863">
        <w:t>Všeobecný</w:t>
      </w:r>
      <w:r w:rsidRPr="00E76AA6">
        <w:t xml:space="preserve"> z</w:t>
      </w:r>
      <w:r w:rsidR="00AC7367" w:rsidRPr="00E76AA6">
        <w:t>působ hodnocení nabídek</w:t>
      </w:r>
      <w:bookmarkEnd w:id="69"/>
    </w:p>
    <w:p w14:paraId="160DBC67" w14:textId="77777777" w:rsidR="00E128E4" w:rsidRPr="00040EBB" w:rsidRDefault="00E128E4" w:rsidP="00E128E4">
      <w:pPr>
        <w:pStyle w:val="PFI-odstavec"/>
      </w:pPr>
      <w:r w:rsidRPr="00040EBB">
        <w:t>Pokud je v předchozím bodě uveden pro některé z kritérií hodnocení či subkritérií způsob hodnocení odlišně od tohoto všeobecného způsobu hodnocení, má přednost před tímto všeobecným způsobem hodnocení.</w:t>
      </w:r>
    </w:p>
    <w:p w14:paraId="28016874" w14:textId="77777777" w:rsidR="00E128E4" w:rsidRPr="00954863" w:rsidRDefault="00E128E4" w:rsidP="00E128E4">
      <w:pPr>
        <w:pStyle w:val="PFI-odstavec"/>
      </w:pPr>
      <w:r w:rsidRPr="00954863">
        <w:t>Pro hodnocení nabídek použije komise bodovací stupnici v rozsahu 0 až 100.</w:t>
      </w:r>
    </w:p>
    <w:p w14:paraId="5910E3FC" w14:textId="77777777" w:rsidR="00E128E4" w:rsidRPr="00954863" w:rsidRDefault="00E128E4" w:rsidP="00E128E4">
      <w:pPr>
        <w:pStyle w:val="PFI-odstavec"/>
      </w:pPr>
      <w:r w:rsidRPr="00954863">
        <w:lastRenderedPageBreak/>
        <w:t>Bodové hodnocení nabídky je dáno součtem bodových hodnocení nabídky v jednotlivých dílčích kritériích</w:t>
      </w:r>
      <w:r w:rsidRPr="00E63933">
        <w:t xml:space="preserve"> hodnocení</w:t>
      </w:r>
      <w:r w:rsidRPr="00954863">
        <w:t xml:space="preserve">. V každém dílčím kritériu </w:t>
      </w:r>
      <w:r w:rsidRPr="00E63933">
        <w:t xml:space="preserve">hodnocení </w:t>
      </w:r>
      <w:r w:rsidRPr="00954863">
        <w:t>může nabídka získat maximálně tolik bodů, kolik je váha tohoto kritéria uvedená v procentech.</w:t>
      </w:r>
    </w:p>
    <w:p w14:paraId="78071D13" w14:textId="77777777" w:rsidR="00E128E4" w:rsidRPr="00954863" w:rsidRDefault="00E128E4" w:rsidP="00E128E4">
      <w:pPr>
        <w:pStyle w:val="PFI-odstavec"/>
      </w:pPr>
      <w:bookmarkStart w:id="70" w:name="_Ref167625452"/>
      <w:r w:rsidRPr="00954863">
        <w:t xml:space="preserve">Každé jednotlivé nabídce je v rámci každého dílčího kritéria </w:t>
      </w:r>
      <w:r w:rsidRPr="00E63933">
        <w:t xml:space="preserve">hodnocení </w:t>
      </w:r>
      <w:r w:rsidRPr="00954863">
        <w:t>přiděleno bodové hodnocení, které vyjadřuje úspěšnost předmětné nabídky v rámci dílčího kritéria:</w:t>
      </w:r>
      <w:bookmarkEnd w:id="70"/>
    </w:p>
    <w:p w14:paraId="4156979C" w14:textId="0063D605" w:rsidR="00040EBB" w:rsidRPr="00A36D73" w:rsidRDefault="00040EBB" w:rsidP="00040EBB">
      <w:pPr>
        <w:pStyle w:val="PFI-pismeno"/>
      </w:pPr>
      <w:bookmarkStart w:id="71" w:name="_Ref167625459"/>
      <w:r w:rsidRPr="00A36D73">
        <w:t xml:space="preserve">pro kritéria, u kterých je nejlepší umístění vyjádřeno nejvyšším číslem (počet bodů za </w:t>
      </w:r>
      <w:r w:rsidR="00C47BB9">
        <w:t xml:space="preserve">metodiku implementace a </w:t>
      </w:r>
      <w:r w:rsidRPr="00A36D73">
        <w:t>technickou kvalitu nabízeného řešení), je bodová hodnota dána vzorcem Bodové_Hodnocení = Hodnota_Nabídky / Hodnota_Nejlepší_Nabídky * Váha_Kritéria * 100,</w:t>
      </w:r>
    </w:p>
    <w:p w14:paraId="32031EE1" w14:textId="77777777" w:rsidR="00040EBB" w:rsidRPr="00C42B53" w:rsidRDefault="00040EBB" w:rsidP="00040EBB">
      <w:pPr>
        <w:ind w:left="680"/>
      </w:pPr>
      <w:r>
        <w:t>v případě, že všechny Hodnota_Nabídky všech nabídek bude 0, výpočet se nepoužije a všechny nabídky získají Bodové_Hodnocení = 0 bodů;</w:t>
      </w:r>
    </w:p>
    <w:p w14:paraId="3CC46419" w14:textId="77777777" w:rsidR="00040EBB" w:rsidRPr="00137141" w:rsidRDefault="00040EBB" w:rsidP="00040EBB">
      <w:pPr>
        <w:pStyle w:val="PFI-pismeno"/>
      </w:pPr>
      <w:r w:rsidRPr="00137141">
        <w:t>pro kritéria, u kterých je nejlepší umístění vyjádřeno nejnižším číslem (výše nabídkové ceny), je bodová hodnota dána vzorcem Bodové_Hodnocení = Hodnota_Nejlepší_Nabídky / Hodnota_Nabídky * Váha_Kritéria * 100.</w:t>
      </w:r>
    </w:p>
    <w:p w14:paraId="5540DC10" w14:textId="77777777" w:rsidR="00040EBB" w:rsidRPr="00C42B53" w:rsidRDefault="00040EBB" w:rsidP="00040EBB">
      <w:pPr>
        <w:ind w:left="680"/>
      </w:pPr>
      <w:r>
        <w:t>v případě, že všechny Hodnota_Nabídky všech nabídek bude 0, výpočet se nepoužije a všechny nabídky získají Bodové_Hodnocení = 0 bodů;</w:t>
      </w:r>
    </w:p>
    <w:p w14:paraId="021B7A37" w14:textId="77777777" w:rsidR="00E128E4" w:rsidRPr="00954863" w:rsidRDefault="00E128E4" w:rsidP="00E128E4">
      <w:pPr>
        <w:pStyle w:val="PFI-odstavec"/>
      </w:pPr>
      <w:r w:rsidRPr="00954863">
        <w:t xml:space="preserve">Údaj Hodnota_Nabídky se každé jednotlivé nabídce v rámci každého dílčího kritéria </w:t>
      </w:r>
      <w:r w:rsidRPr="00E63933">
        <w:t xml:space="preserve">hodnocení </w:t>
      </w:r>
      <w:r w:rsidRPr="00954863">
        <w:t>určí</w:t>
      </w:r>
      <w:bookmarkEnd w:id="71"/>
    </w:p>
    <w:p w14:paraId="283AB611" w14:textId="77777777" w:rsidR="00040EBB" w:rsidRPr="00137141" w:rsidRDefault="00040EBB" w:rsidP="00040EBB">
      <w:pPr>
        <w:pStyle w:val="PFI-pismeno"/>
      </w:pPr>
      <w:r w:rsidRPr="00137141">
        <w:t xml:space="preserve">přímá číselná hodnota nabídnutá dodavatelem (výše </w:t>
      </w:r>
      <w:r w:rsidRPr="00137141">
        <w:rPr>
          <w:rStyle w:val="slostrnky"/>
        </w:rPr>
        <w:t>nabídkov</w:t>
      </w:r>
      <w:r w:rsidRPr="00137141">
        <w:t>é ceny),</w:t>
      </w:r>
    </w:p>
    <w:p w14:paraId="6F6761C5" w14:textId="77777777" w:rsidR="00040EBB" w:rsidRPr="00137141" w:rsidRDefault="00040EBB" w:rsidP="00040EBB">
      <w:pPr>
        <w:pStyle w:val="PFI-pismeno"/>
      </w:pPr>
      <w:r w:rsidRPr="00137141">
        <w:t>výsledek hodnocení, které nabídka získá podle stanoveného způsobu (úroveň technického řešení).</w:t>
      </w:r>
    </w:p>
    <w:p w14:paraId="0C5C6A2F" w14:textId="77777777" w:rsidR="00E128E4" w:rsidRPr="00040EBB" w:rsidRDefault="00E128E4" w:rsidP="00E128E4">
      <w:pPr>
        <w:pStyle w:val="PFI-odstavec"/>
      </w:pPr>
      <w:r w:rsidRPr="00040EBB">
        <w:t>Pokud se dílčí kritérium hodnocení rozpadá do dalších kritérií hodnocení, použije se výše uvedený postup obdobně.</w:t>
      </w:r>
    </w:p>
    <w:p w14:paraId="4745D1D6" w14:textId="010BB97B" w:rsidR="009231A7" w:rsidRPr="00CD2E7F" w:rsidRDefault="009231A7" w:rsidP="00F72582">
      <w:pPr>
        <w:pStyle w:val="Nadpis2"/>
      </w:pPr>
      <w:bookmarkStart w:id="72" w:name="_Toc477447836"/>
      <w:bookmarkStart w:id="73" w:name="_Ref483462392"/>
      <w:bookmarkStart w:id="74" w:name="_Toc159843951"/>
      <w:r w:rsidRPr="00E76AA6">
        <w:t xml:space="preserve">Oznámení o vyloučení </w:t>
      </w:r>
      <w:r>
        <w:t>účastníka</w:t>
      </w:r>
      <w:r w:rsidRPr="00E76AA6">
        <w:t xml:space="preserve"> ze zadávacího řízení a </w:t>
      </w:r>
      <w:r w:rsidRPr="00E76AA6">
        <w:br/>
      </w:r>
      <w:r w:rsidRPr="00CD2E7F">
        <w:t>Oznámení o výběru nejv</w:t>
      </w:r>
      <w:r w:rsidR="00F72582" w:rsidRPr="00CD2E7F">
        <w:t>ý</w:t>
      </w:r>
      <w:r w:rsidRPr="00CD2E7F">
        <w:t>hodnější nabídky</w:t>
      </w:r>
    </w:p>
    <w:p w14:paraId="5C8FCED7" w14:textId="77777777" w:rsidR="009231A7" w:rsidRPr="00E76AA6" w:rsidRDefault="009231A7" w:rsidP="009231A7">
      <w:r w:rsidRPr="00E76AA6">
        <w:t xml:space="preserve">Zadavatel si vyhrazuje právo uveřejnit Oznámení o vyloučení </w:t>
      </w:r>
      <w:r>
        <w:t>účastníka</w:t>
      </w:r>
      <w:r w:rsidRPr="00E76AA6">
        <w:t xml:space="preserve"> zadávacího řízení a Oznámení o výběru </w:t>
      </w:r>
      <w:r>
        <w:t xml:space="preserve">dodavatele </w:t>
      </w:r>
      <w:r w:rsidRPr="00E76AA6">
        <w:t>na svém profilu zadavatele; v tom případě se obě tato Oznámení považují za doručená okamžikem jejich uveřejnění na profilu zadavatele.</w:t>
      </w:r>
    </w:p>
    <w:p w14:paraId="50623E27" w14:textId="77777777" w:rsidR="00AB6FE5" w:rsidRDefault="00AB6FE5" w:rsidP="00AB6FE5">
      <w:pPr>
        <w:pStyle w:val="Nadpis1"/>
      </w:pPr>
      <w:r>
        <w:t>Postup při uzavření smlouvy</w:t>
      </w:r>
      <w:bookmarkEnd w:id="72"/>
    </w:p>
    <w:p w14:paraId="63F73708" w14:textId="77777777" w:rsidR="00740E69" w:rsidRPr="00740E69" w:rsidRDefault="00740E69" w:rsidP="00E63933">
      <w:pPr>
        <w:pStyle w:val="Nadpis2"/>
      </w:pPr>
      <w:r w:rsidRPr="00740E69">
        <w:t>Podmínky pro uzavření smlouvy</w:t>
      </w:r>
      <w:bookmarkEnd w:id="73"/>
    </w:p>
    <w:p w14:paraId="5AB49B91" w14:textId="77777777" w:rsidR="007159BE" w:rsidRDefault="00812EDF" w:rsidP="00FD76B5">
      <w:pPr>
        <w:pStyle w:val="PFI-odstavec"/>
      </w:pPr>
      <w:r>
        <w:t>Vybraný dodavatel je povinen před podpisem smlouvy předložit originály nebo ověřené kopie</w:t>
      </w:r>
      <w:r w:rsidRPr="00812EDF">
        <w:t xml:space="preserve"> dokladů o kvalifikaci, pokud již nebyly v zadávacím řízení předloženy.</w:t>
      </w:r>
      <w:r w:rsidR="007159BE">
        <w:t xml:space="preserve"> </w:t>
      </w:r>
    </w:p>
    <w:p w14:paraId="5DC1024F" w14:textId="55DDA014" w:rsidR="00C620F6" w:rsidRPr="00D7508A" w:rsidRDefault="00C620F6" w:rsidP="00C620F6">
      <w:bookmarkStart w:id="75" w:name="_Ref160258470"/>
      <w:r w:rsidRPr="000D3148">
        <w:t xml:space="preserve">Doklady prokazující základní způsobilost podle § 74 </w:t>
      </w:r>
      <w:r>
        <w:t xml:space="preserve">ZZVZ </w:t>
      </w:r>
      <w:r w:rsidRPr="000D3148">
        <w:t xml:space="preserve">a profesní způsobilost podle § 77 odst. 1 </w:t>
      </w:r>
      <w:r>
        <w:t xml:space="preserve">ZZVZ </w:t>
      </w:r>
      <w:r w:rsidRPr="000D3148">
        <w:t xml:space="preserve">musí prokazovat splnění požadovaného kritéria způsobilosti nejpozději v době 3 měsíců </w:t>
      </w:r>
      <w:r w:rsidR="009231A7" w:rsidRPr="00D7508A">
        <w:t>přede dnem podání nabídky</w:t>
      </w:r>
      <w:r w:rsidRPr="000D3148">
        <w:t>.</w:t>
      </w:r>
    </w:p>
    <w:bookmarkEnd w:id="75"/>
    <w:p w14:paraId="50827B79" w14:textId="77777777" w:rsidR="007159BE" w:rsidRDefault="007159BE" w:rsidP="007159BE">
      <w:r>
        <w:t xml:space="preserve">Podrobněji viz </w:t>
      </w:r>
      <w:r w:rsidR="00C620F6">
        <w:t xml:space="preserve">též </w:t>
      </w:r>
      <w:r>
        <w:t xml:space="preserve">bod </w:t>
      </w:r>
      <w:r>
        <w:fldChar w:fldCharType="begin"/>
      </w:r>
      <w:r>
        <w:instrText xml:space="preserve"> REF _Ref464710290 \n \h </w:instrText>
      </w:r>
      <w:r>
        <w:fldChar w:fldCharType="separate"/>
      </w:r>
      <w:r w:rsidR="00A96952">
        <w:t>(7)</w:t>
      </w:r>
      <w:r>
        <w:fldChar w:fldCharType="end"/>
      </w:r>
      <w:r>
        <w:t>.</w:t>
      </w:r>
    </w:p>
    <w:p w14:paraId="38C7A494" w14:textId="77777777" w:rsidR="001E6937" w:rsidRDefault="001E6937" w:rsidP="007159BE">
      <w:pPr>
        <w:rPr>
          <w:b/>
          <w:u w:val="single"/>
        </w:rPr>
      </w:pPr>
      <w:r>
        <w:rPr>
          <w:b/>
          <w:u w:val="single"/>
        </w:rPr>
        <w:t xml:space="preserve">Zadavatel upozorňuje, že </w:t>
      </w:r>
    </w:p>
    <w:p w14:paraId="5E019084" w14:textId="77777777" w:rsidR="001E6937" w:rsidRDefault="001E6937" w:rsidP="001E6937">
      <w:pPr>
        <w:numPr>
          <w:ilvl w:val="0"/>
          <w:numId w:val="9"/>
        </w:numPr>
        <w:rPr>
          <w:b/>
          <w:u w:val="single"/>
        </w:rPr>
      </w:pPr>
      <w:r>
        <w:rPr>
          <w:b/>
          <w:u w:val="single"/>
        </w:rPr>
        <w:t xml:space="preserve">pokud prokazuje dodavatel kvalifikaci prostřednictvím poddodavatele, musí takový poddodavatel podle § 83 odst. (1) ZZVZ předložit (na rozdíl od předchozí úpravy podle </w:t>
      </w:r>
      <w:r>
        <w:rPr>
          <w:b/>
          <w:u w:val="single"/>
        </w:rPr>
        <w:lastRenderedPageBreak/>
        <w:t xml:space="preserve">zákona 137/2006 Sb.) i </w:t>
      </w:r>
      <w:r w:rsidRPr="001E6937">
        <w:rPr>
          <w:b/>
          <w:u w:val="single"/>
        </w:rPr>
        <w:t>potvrzení o nedoplatcích od finančního úřadu</w:t>
      </w:r>
      <w:r>
        <w:rPr>
          <w:b/>
          <w:u w:val="single"/>
        </w:rPr>
        <w:t xml:space="preserve"> a správy sociálního zabezpečení;</w:t>
      </w:r>
    </w:p>
    <w:p w14:paraId="7D11EE1E" w14:textId="77777777" w:rsidR="001E6937" w:rsidRDefault="001E6937" w:rsidP="001E6937">
      <w:pPr>
        <w:numPr>
          <w:ilvl w:val="0"/>
          <w:numId w:val="9"/>
        </w:numPr>
        <w:rPr>
          <w:b/>
          <w:u w:val="single"/>
        </w:rPr>
      </w:pPr>
      <w:r>
        <w:rPr>
          <w:b/>
          <w:u w:val="single"/>
        </w:rPr>
        <w:t xml:space="preserve">některé finanční úřady a správy sociálního zabezpečení si stanovují lhůty pro </w:t>
      </w:r>
      <w:r w:rsidRPr="001E6937">
        <w:rPr>
          <w:b/>
          <w:u w:val="single"/>
        </w:rPr>
        <w:t>vydání potvrzení</w:t>
      </w:r>
      <w:r w:rsidRPr="001E6937">
        <w:rPr>
          <w:u w:val="single"/>
        </w:rPr>
        <w:t xml:space="preserve"> </w:t>
      </w:r>
      <w:r w:rsidRPr="001E6937">
        <w:rPr>
          <w:b/>
          <w:u w:val="single"/>
        </w:rPr>
        <w:t>o nedoplatcích</w:t>
      </w:r>
      <w:r>
        <w:rPr>
          <w:b/>
          <w:u w:val="single"/>
        </w:rPr>
        <w:t xml:space="preserve"> např. i 3 týdny.</w:t>
      </w:r>
    </w:p>
    <w:p w14:paraId="33E8F0C2" w14:textId="77777777" w:rsidR="00C87643" w:rsidRPr="00865AB1" w:rsidRDefault="00C87643" w:rsidP="00C87643">
      <w:pPr>
        <w:pStyle w:val="PFI-odstavec"/>
      </w:pPr>
      <w:r>
        <w:t xml:space="preserve">Vybraný dodavatel </w:t>
      </w:r>
      <w:r w:rsidRPr="00865AB1">
        <w:t>je povinen předložit zadavateli před podpisem smlouvy pojistnou smlouvu</w:t>
      </w:r>
      <w:r w:rsidR="00E63933">
        <w:t xml:space="preserve"> podle bodu </w:t>
      </w:r>
      <w:r w:rsidR="00E63933">
        <w:fldChar w:fldCharType="begin"/>
      </w:r>
      <w:r w:rsidR="00E63933">
        <w:instrText xml:space="preserve"> REF _Ref471208195 \n \h </w:instrText>
      </w:r>
      <w:r w:rsidR="00E63933">
        <w:fldChar w:fldCharType="separate"/>
      </w:r>
      <w:r w:rsidR="00A96952">
        <w:t>2.2</w:t>
      </w:r>
      <w:r w:rsidR="00E63933">
        <w:fldChar w:fldCharType="end"/>
      </w:r>
      <w:r w:rsidRPr="00865AB1">
        <w:t>.</w:t>
      </w:r>
    </w:p>
    <w:p w14:paraId="0C57F643" w14:textId="77777777" w:rsidR="00C47BB9" w:rsidRDefault="00C47BB9" w:rsidP="00C47BB9">
      <w:pPr>
        <w:pStyle w:val="PFI-odstavec"/>
      </w:pPr>
      <w:r w:rsidRPr="005F7037">
        <w:rPr>
          <w:b/>
        </w:rPr>
        <w:t>V případě, že vybraný dodavatel</w:t>
      </w:r>
      <w:r>
        <w:t xml:space="preserve">, který je právnickou osobou, </w:t>
      </w:r>
      <w:r w:rsidRPr="005F7037">
        <w:rPr>
          <w:b/>
        </w:rPr>
        <w:t>nebude mít před podpisem smlouvy řádně zaevidovány své skutečné majitele</w:t>
      </w:r>
      <w:r>
        <w:t xml:space="preserve"> (</w:t>
      </w:r>
      <w:r>
        <w:rPr>
          <w:i/>
        </w:rPr>
        <w:t>ve smyslu</w:t>
      </w:r>
      <w:r w:rsidRPr="0049139E">
        <w:rPr>
          <w:i/>
        </w:rPr>
        <w:t xml:space="preserve"> zákona č. 253/2008 Sb. o některých opatřeních proti legalizaci výnosů z trestné činnosti a financování terorismu</w:t>
      </w:r>
      <w:r>
        <w:t xml:space="preserve">) </w:t>
      </w:r>
      <w:r w:rsidRPr="005F7037">
        <w:rPr>
          <w:b/>
        </w:rPr>
        <w:t>v Informačním systému skutečných majitelů</w:t>
      </w:r>
      <w:r>
        <w:t xml:space="preserve"> (vlastní informační systém a další informace o něm viz též </w:t>
      </w:r>
      <w:hyperlink r:id="rId12" w:history="1">
        <w:r w:rsidRPr="00A029FB">
          <w:rPr>
            <w:rStyle w:val="Hypertextovodkaz"/>
          </w:rPr>
          <w:t>https://issm.justice.cz/</w:t>
        </w:r>
      </w:hyperlink>
      <w:r>
        <w:t>) nebo n</w:t>
      </w:r>
      <w:r w:rsidRPr="005F7037">
        <w:t>e</w:t>
      </w:r>
      <w:r>
        <w:t>bude</w:t>
      </w:r>
      <w:r w:rsidRPr="005F7037">
        <w:t xml:space="preserve">-li </w:t>
      </w:r>
      <w:r>
        <w:t>možné údaje o skutečných</w:t>
      </w:r>
      <w:r w:rsidRPr="005F7037">
        <w:t xml:space="preserve"> majitel</w:t>
      </w:r>
      <w:r>
        <w:t>ích</w:t>
      </w:r>
      <w:r w:rsidRPr="005F7037">
        <w:t xml:space="preserve"> </w:t>
      </w:r>
      <w:r>
        <w:t xml:space="preserve">zjistit, je takový dodavatel povinen před podpisem smlouvy předložit: </w:t>
      </w:r>
    </w:p>
    <w:p w14:paraId="258F294E" w14:textId="77777777" w:rsidR="00C47BB9" w:rsidRDefault="00C47BB9" w:rsidP="00C47BB9">
      <w:pPr>
        <w:pStyle w:val="PFI-pismeno"/>
      </w:pPr>
      <w:r>
        <w:t>identifikační údaje všech osob, které jsou jeho skutečným majitelem podle zákona o některých opatřeních proti legalizaci výnosů z trestné činnosti a financování terorismu,</w:t>
      </w:r>
    </w:p>
    <w:p w14:paraId="00305B53" w14:textId="77777777" w:rsidR="00C47BB9" w:rsidRDefault="00C47BB9" w:rsidP="00C47BB9">
      <w:pPr>
        <w:pStyle w:val="PFI-pismeno"/>
      </w:pPr>
      <w:r>
        <w:t>doklady, z nichž vyplývá vztah všech osob podle písmene a) k dodavateli; těmito doklady jsou zejména</w:t>
      </w:r>
    </w:p>
    <w:p w14:paraId="5A2C254A" w14:textId="77777777" w:rsidR="00C47BB9" w:rsidRDefault="00C47BB9" w:rsidP="00C47BB9">
      <w:pPr>
        <w:pStyle w:val="PFI-msk"/>
      </w:pPr>
      <w:r>
        <w:t>výpis z obchodního rejstříku nebo jiné obdobné evidence,</w:t>
      </w:r>
    </w:p>
    <w:p w14:paraId="6A9F732E" w14:textId="77777777" w:rsidR="00C47BB9" w:rsidRDefault="00C47BB9" w:rsidP="00C47BB9">
      <w:pPr>
        <w:pStyle w:val="PFI-msk"/>
      </w:pPr>
      <w:r>
        <w:t>seznam akcionářů,</w:t>
      </w:r>
    </w:p>
    <w:p w14:paraId="02129823" w14:textId="77777777" w:rsidR="00C47BB9" w:rsidRDefault="00C47BB9" w:rsidP="00C47BB9">
      <w:pPr>
        <w:pStyle w:val="PFI-msk"/>
      </w:pPr>
      <w:r>
        <w:t>rozhodnutí statutárního orgánu o vyplacení podílu na zisku,</w:t>
      </w:r>
    </w:p>
    <w:p w14:paraId="1E6323D3" w14:textId="77777777" w:rsidR="00C47BB9" w:rsidRDefault="00C47BB9" w:rsidP="00C47BB9">
      <w:pPr>
        <w:pStyle w:val="PFI-msk"/>
      </w:pPr>
      <w:r>
        <w:t>společenská smlouva, zakladatelská listina nebo stanovy.</w:t>
      </w:r>
    </w:p>
    <w:p w14:paraId="3EFA4781" w14:textId="77777777" w:rsidR="00AB6FE5" w:rsidRDefault="00AB6FE5" w:rsidP="00AB6FE5">
      <w:pPr>
        <w:pStyle w:val="Nadpis2"/>
      </w:pPr>
      <w:r>
        <w:t>Součinnost vybraného dodavatele při podpisu smlouvy</w:t>
      </w:r>
    </w:p>
    <w:p w14:paraId="2295E2C7" w14:textId="77777777" w:rsidR="00AB6FE5" w:rsidRPr="00A527F3" w:rsidRDefault="00AB6FE5" w:rsidP="00AB6FE5">
      <w:pPr>
        <w:pStyle w:val="PFI-odstavec"/>
      </w:pPr>
      <w:r w:rsidRPr="00A527F3">
        <w:t>Zadavatel upozorňuje, že si ohledem na harmonogram předmětu veřejné zakázky vyhrazuje právo v případě, že vybraný dodavatel nepředloží</w:t>
      </w:r>
      <w:r>
        <w:t xml:space="preserve"> výše uvedené doklady do 14 dnů od předložení výzvy podle § 122 odst. (3)</w:t>
      </w:r>
      <w:r w:rsidR="007A1E0A" w:rsidRPr="007A1E0A">
        <w:t xml:space="preserve"> </w:t>
      </w:r>
      <w:r w:rsidR="007A1E0A">
        <w:t xml:space="preserve">nebo (5) </w:t>
      </w:r>
      <w:r>
        <w:t>ZZVZ, může zadavatel vybraného dodavatele vyloučit ze zadávacího řízení.</w:t>
      </w:r>
    </w:p>
    <w:p w14:paraId="6B29A7A2" w14:textId="77777777" w:rsidR="00740E69" w:rsidRDefault="00740E69" w:rsidP="00E63933">
      <w:pPr>
        <w:pStyle w:val="Nadpis2"/>
      </w:pPr>
      <w:r>
        <w:t>Další povinnosti</w:t>
      </w:r>
    </w:p>
    <w:p w14:paraId="3810ECA9" w14:textId="77777777" w:rsidR="00740E69" w:rsidRDefault="00A566A2" w:rsidP="00740E69">
      <w:pPr>
        <w:pStyle w:val="PFI-odstavec"/>
      </w:pPr>
      <w:r>
        <w:t>V</w:t>
      </w:r>
      <w:r w:rsidR="00740E69">
        <w:t xml:space="preserve">ybraný dodavatel </w:t>
      </w:r>
      <w:r>
        <w:t xml:space="preserve">je </w:t>
      </w:r>
      <w:r w:rsidR="00740E69">
        <w:t xml:space="preserve">povinen předložit zadavateli identifikační údaje poddodavatelů stavebních prací nebo služeb, </w:t>
      </w:r>
      <w:r w:rsidR="00816344">
        <w:t xml:space="preserve">které mají být poskytnuty v zařízení pod přímým dohledem zadavatele, </w:t>
      </w:r>
      <w:r w:rsidR="00740E69">
        <w:t>a to nejpozději do 10 pracovních dnů od doručení oznámení o výběru dodavatele, pokud jsou mu známi. Poddodavatelé, kteří nebyli identifikováni podle věty první a kteří se následně zapojí do plnění veřejné zakázky, musí být identifikováni, a to před zahájením plnění veřejné zakázky poddodavatelem.</w:t>
      </w:r>
    </w:p>
    <w:p w14:paraId="28473372" w14:textId="4A1BB92C" w:rsidR="006F74A9" w:rsidRDefault="006F74A9" w:rsidP="006F74A9">
      <w:pPr>
        <w:pStyle w:val="PFI-odstavec"/>
      </w:pPr>
      <w:r>
        <w:t>Vybraný dodavatel je povinen předložit zadavateli</w:t>
      </w:r>
      <w:r>
        <w:t xml:space="preserve"> informaci o tom, zda je malý či střední podnik dle zákona </w:t>
      </w:r>
      <w:r w:rsidRPr="006F74A9">
        <w:t>č. 47/2002 Sb., o podpoře malého a středního podnikání</w:t>
      </w:r>
      <w:r>
        <w:t>.</w:t>
      </w:r>
    </w:p>
    <w:p w14:paraId="387E079C" w14:textId="77777777" w:rsidR="0036023F" w:rsidRPr="00E76AA6" w:rsidRDefault="00544BCC" w:rsidP="00915769">
      <w:pPr>
        <w:pStyle w:val="Nadpis1"/>
      </w:pPr>
      <w:bookmarkStart w:id="76" w:name="_Toc477447837"/>
      <w:r w:rsidRPr="00E76AA6">
        <w:t xml:space="preserve">Přílohy – </w:t>
      </w:r>
      <w:r w:rsidR="0036023F" w:rsidRPr="00E76AA6">
        <w:t xml:space="preserve">nedílná součást zadávací </w:t>
      </w:r>
      <w:r w:rsidR="0036023F" w:rsidRPr="00915769">
        <w:t>dokumentace</w:t>
      </w:r>
      <w:r w:rsidR="0036023F" w:rsidRPr="00E76AA6">
        <w:t>:</w:t>
      </w:r>
      <w:bookmarkEnd w:id="74"/>
      <w:bookmarkEnd w:id="76"/>
    </w:p>
    <w:p w14:paraId="42A66F4D" w14:textId="77777777" w:rsidR="00040EBB" w:rsidRPr="00564DE3" w:rsidRDefault="00040EBB" w:rsidP="00040EBB">
      <w:pPr>
        <w:numPr>
          <w:ilvl w:val="0"/>
          <w:numId w:val="1"/>
        </w:numPr>
        <w:tabs>
          <w:tab w:val="clear" w:pos="1040"/>
          <w:tab w:val="num" w:pos="567"/>
        </w:tabs>
        <w:ind w:left="567"/>
        <w:rPr>
          <w:rFonts w:cs="Calibri Light"/>
          <w:szCs w:val="22"/>
        </w:rPr>
      </w:pPr>
      <w:r w:rsidRPr="00564DE3">
        <w:rPr>
          <w:rFonts w:cs="Calibri Light"/>
          <w:szCs w:val="22"/>
        </w:rPr>
        <w:t>Krycí list</w:t>
      </w:r>
    </w:p>
    <w:p w14:paraId="0608BA43" w14:textId="77777777" w:rsidR="00040EBB" w:rsidRPr="00B77327" w:rsidRDefault="00040EBB" w:rsidP="00040EBB">
      <w:pPr>
        <w:numPr>
          <w:ilvl w:val="0"/>
          <w:numId w:val="1"/>
        </w:numPr>
        <w:tabs>
          <w:tab w:val="clear" w:pos="1040"/>
          <w:tab w:val="num" w:pos="567"/>
        </w:tabs>
        <w:ind w:left="567"/>
        <w:rPr>
          <w:rFonts w:cs="Calibri Light"/>
          <w:szCs w:val="22"/>
        </w:rPr>
      </w:pPr>
      <w:r w:rsidRPr="00B77327">
        <w:rPr>
          <w:rFonts w:cs="Calibri Light"/>
          <w:szCs w:val="22"/>
        </w:rPr>
        <w:t>Vzorové dokumenty pro zpracování nabídky:</w:t>
      </w:r>
    </w:p>
    <w:p w14:paraId="17DE554A" w14:textId="77777777" w:rsidR="00040EBB" w:rsidRPr="00564DE3" w:rsidRDefault="00040EBB" w:rsidP="00040EBB">
      <w:pPr>
        <w:numPr>
          <w:ilvl w:val="1"/>
          <w:numId w:val="1"/>
        </w:numPr>
        <w:tabs>
          <w:tab w:val="clear" w:pos="1760"/>
          <w:tab w:val="num" w:pos="1134"/>
        </w:tabs>
        <w:ind w:left="567" w:firstLine="0"/>
        <w:rPr>
          <w:rFonts w:cs="Calibri Light"/>
          <w:szCs w:val="22"/>
        </w:rPr>
      </w:pPr>
      <w:r w:rsidRPr="00564DE3">
        <w:rPr>
          <w:rFonts w:cs="Calibri Light"/>
          <w:szCs w:val="22"/>
        </w:rPr>
        <w:t xml:space="preserve">Vzor čestného prohlášení o </w:t>
      </w:r>
      <w:r>
        <w:rPr>
          <w:rFonts w:cs="Calibri Light"/>
          <w:szCs w:val="22"/>
        </w:rPr>
        <w:t xml:space="preserve">splnění </w:t>
      </w:r>
      <w:r w:rsidRPr="00564DE3">
        <w:rPr>
          <w:rFonts w:cs="Calibri Light"/>
          <w:szCs w:val="22"/>
        </w:rPr>
        <w:t>kvalifika</w:t>
      </w:r>
      <w:r>
        <w:rPr>
          <w:rFonts w:cs="Calibri Light"/>
          <w:szCs w:val="22"/>
        </w:rPr>
        <w:t>ce</w:t>
      </w:r>
    </w:p>
    <w:p w14:paraId="477AAD28" w14:textId="77777777" w:rsidR="00040EBB" w:rsidRPr="00564DE3" w:rsidRDefault="00040EBB" w:rsidP="00040EBB">
      <w:pPr>
        <w:numPr>
          <w:ilvl w:val="1"/>
          <w:numId w:val="1"/>
        </w:numPr>
        <w:tabs>
          <w:tab w:val="clear" w:pos="1760"/>
          <w:tab w:val="num" w:pos="1134"/>
        </w:tabs>
        <w:ind w:left="993"/>
        <w:rPr>
          <w:rFonts w:cs="Calibri Light"/>
          <w:szCs w:val="22"/>
        </w:rPr>
      </w:pPr>
      <w:r w:rsidRPr="00564DE3">
        <w:rPr>
          <w:rFonts w:cs="Calibri Light"/>
          <w:szCs w:val="22"/>
        </w:rPr>
        <w:t xml:space="preserve">Vzor čestného prohlášení o </w:t>
      </w:r>
      <w:r w:rsidRPr="007D6DC2">
        <w:rPr>
          <w:rFonts w:cs="Calibri Light"/>
          <w:szCs w:val="22"/>
        </w:rPr>
        <w:t>smluvních podmínkách</w:t>
      </w:r>
    </w:p>
    <w:p w14:paraId="4851B6FD" w14:textId="77777777" w:rsidR="00040EBB" w:rsidRPr="00CA25AE" w:rsidRDefault="00040EBB" w:rsidP="00040EBB">
      <w:pPr>
        <w:numPr>
          <w:ilvl w:val="0"/>
          <w:numId w:val="1"/>
        </w:numPr>
        <w:tabs>
          <w:tab w:val="clear" w:pos="1040"/>
          <w:tab w:val="num" w:pos="567"/>
        </w:tabs>
        <w:ind w:left="567"/>
        <w:rPr>
          <w:rFonts w:cs="Calibri Light"/>
          <w:szCs w:val="22"/>
        </w:rPr>
      </w:pPr>
      <w:r w:rsidRPr="00CA25AE">
        <w:rPr>
          <w:rFonts w:cs="Calibri Light"/>
          <w:szCs w:val="22"/>
        </w:rPr>
        <w:lastRenderedPageBreak/>
        <w:t>Technická specifikace</w:t>
      </w:r>
    </w:p>
    <w:p w14:paraId="01E5F17D" w14:textId="1106D141" w:rsidR="00040EBB" w:rsidRDefault="00040EBB" w:rsidP="00040EBB">
      <w:pPr>
        <w:numPr>
          <w:ilvl w:val="1"/>
          <w:numId w:val="1"/>
        </w:numPr>
        <w:tabs>
          <w:tab w:val="clear" w:pos="1760"/>
          <w:tab w:val="num" w:pos="1134"/>
        </w:tabs>
        <w:ind w:left="567" w:firstLine="0"/>
        <w:rPr>
          <w:rFonts w:cs="Calibri Light"/>
          <w:szCs w:val="22"/>
        </w:rPr>
      </w:pPr>
      <w:r w:rsidRPr="00CA25AE">
        <w:rPr>
          <w:rFonts w:cs="Calibri Light"/>
          <w:szCs w:val="22"/>
        </w:rPr>
        <w:t>Technická specifikace</w:t>
      </w:r>
    </w:p>
    <w:p w14:paraId="6D6DF943" w14:textId="04404B3C" w:rsidR="00040EBB" w:rsidRDefault="00040EBB" w:rsidP="00040EBB">
      <w:pPr>
        <w:numPr>
          <w:ilvl w:val="1"/>
          <w:numId w:val="1"/>
        </w:numPr>
        <w:tabs>
          <w:tab w:val="clear" w:pos="1760"/>
          <w:tab w:val="num" w:pos="1134"/>
        </w:tabs>
        <w:ind w:left="567" w:firstLine="0"/>
        <w:rPr>
          <w:rFonts w:cs="Calibri Light"/>
          <w:szCs w:val="22"/>
        </w:rPr>
      </w:pPr>
      <w:r w:rsidRPr="00CA25AE">
        <w:rPr>
          <w:rFonts w:cs="Calibri Light"/>
          <w:szCs w:val="22"/>
        </w:rPr>
        <w:t>Položkový rozpočet</w:t>
      </w:r>
    </w:p>
    <w:p w14:paraId="0074681B" w14:textId="5207FDEE" w:rsidR="001D5CC8" w:rsidRPr="00662D4C" w:rsidRDefault="001D5CC8" w:rsidP="001D5CC8">
      <w:pPr>
        <w:numPr>
          <w:ilvl w:val="1"/>
          <w:numId w:val="1"/>
        </w:numPr>
        <w:tabs>
          <w:tab w:val="clear" w:pos="1760"/>
          <w:tab w:val="num" w:pos="1134"/>
        </w:tabs>
        <w:ind w:left="1134" w:hanging="567"/>
        <w:rPr>
          <w:rFonts w:cs="Calibri Light"/>
          <w:szCs w:val="22"/>
        </w:rPr>
      </w:pPr>
      <w:r>
        <w:rPr>
          <w:rFonts w:cs="Calibri Light"/>
          <w:szCs w:val="22"/>
        </w:rPr>
        <w:t xml:space="preserve">Informace o rozhraních na stávající systémy zadavatele </w:t>
      </w:r>
      <w:r>
        <w:rPr>
          <w:rFonts w:cs="Calibri Light"/>
          <w:szCs w:val="22"/>
        </w:rPr>
        <w:br/>
      </w:r>
      <w:r w:rsidRPr="009A4701">
        <w:rPr>
          <w:rFonts w:cs="Calibri Light"/>
          <w:i/>
          <w:szCs w:val="22"/>
        </w:rPr>
        <w:t>(</w:t>
      </w:r>
      <w:r>
        <w:rPr>
          <w:rFonts w:cs="Calibri Light"/>
          <w:i/>
          <w:szCs w:val="22"/>
        </w:rPr>
        <w:t xml:space="preserve">v souladu s § 96 odst. 2 ZZVZ </w:t>
      </w:r>
      <w:r w:rsidRPr="009A4701">
        <w:rPr>
          <w:rFonts w:cs="Calibri Light"/>
          <w:i/>
          <w:szCs w:val="22"/>
        </w:rPr>
        <w:t xml:space="preserve">dostupné pouze na vyžádání a proti podpisu čestného prohlášení o </w:t>
      </w:r>
      <w:r>
        <w:rPr>
          <w:rFonts w:cs="Calibri Light"/>
          <w:i/>
          <w:szCs w:val="22"/>
        </w:rPr>
        <w:t xml:space="preserve">využití </w:t>
      </w:r>
      <w:r w:rsidRPr="009A4701">
        <w:rPr>
          <w:rFonts w:cs="Calibri Light"/>
          <w:i/>
          <w:szCs w:val="22"/>
        </w:rPr>
        <w:t>informací</w:t>
      </w:r>
      <w:r>
        <w:rPr>
          <w:rFonts w:cs="Calibri Light"/>
          <w:i/>
          <w:szCs w:val="22"/>
        </w:rPr>
        <w:t xml:space="preserve"> pouze pro účely zpracování nabídky</w:t>
      </w:r>
      <w:r w:rsidRPr="009A4701">
        <w:rPr>
          <w:rFonts w:cs="Calibri Light"/>
          <w:i/>
          <w:szCs w:val="22"/>
        </w:rPr>
        <w:t>)</w:t>
      </w:r>
    </w:p>
    <w:p w14:paraId="2F0069AB" w14:textId="77777777" w:rsidR="00040EBB" w:rsidRDefault="00040EBB" w:rsidP="00040EBB">
      <w:pPr>
        <w:numPr>
          <w:ilvl w:val="0"/>
          <w:numId w:val="1"/>
        </w:numPr>
        <w:tabs>
          <w:tab w:val="clear" w:pos="1040"/>
          <w:tab w:val="num" w:pos="567"/>
        </w:tabs>
        <w:ind w:left="567"/>
        <w:rPr>
          <w:rFonts w:cs="Calibri Light"/>
          <w:szCs w:val="22"/>
        </w:rPr>
      </w:pPr>
      <w:r w:rsidRPr="00CA25AE">
        <w:rPr>
          <w:rFonts w:cs="Calibri Light"/>
          <w:szCs w:val="22"/>
        </w:rPr>
        <w:t xml:space="preserve">Závazný vzor smlouvy </w:t>
      </w:r>
    </w:p>
    <w:p w14:paraId="3DE285EF" w14:textId="77777777" w:rsidR="00040EBB" w:rsidRPr="008D1EFD" w:rsidRDefault="00040EBB" w:rsidP="00040EBB">
      <w:pPr>
        <w:numPr>
          <w:ilvl w:val="1"/>
          <w:numId w:val="1"/>
        </w:numPr>
        <w:tabs>
          <w:tab w:val="clear" w:pos="1760"/>
          <w:tab w:val="num" w:pos="1134"/>
        </w:tabs>
        <w:ind w:left="1134" w:hanging="567"/>
        <w:rPr>
          <w:rFonts w:cs="Calibri Light"/>
          <w:szCs w:val="22"/>
        </w:rPr>
      </w:pPr>
      <w:r w:rsidRPr="008D1EFD">
        <w:rPr>
          <w:rFonts w:cs="Calibri Light"/>
          <w:szCs w:val="22"/>
        </w:rPr>
        <w:t>Smlouva o dílo – realizace</w:t>
      </w:r>
    </w:p>
    <w:p w14:paraId="3639003C" w14:textId="14631555" w:rsidR="00040EBB" w:rsidRPr="00957549" w:rsidRDefault="00040EBB" w:rsidP="00040EBB">
      <w:pPr>
        <w:numPr>
          <w:ilvl w:val="1"/>
          <w:numId w:val="1"/>
        </w:numPr>
        <w:tabs>
          <w:tab w:val="clear" w:pos="1760"/>
          <w:tab w:val="num" w:pos="1134"/>
        </w:tabs>
        <w:ind w:left="1134" w:hanging="567"/>
        <w:rPr>
          <w:rFonts w:cs="Calibri Light"/>
          <w:szCs w:val="22"/>
        </w:rPr>
      </w:pPr>
      <w:r w:rsidRPr="008D1EFD">
        <w:rPr>
          <w:rFonts w:cs="Calibri Light"/>
          <w:szCs w:val="22"/>
        </w:rPr>
        <w:t>Smlouva o dílo – p</w:t>
      </w:r>
      <w:r w:rsidR="006F74A9">
        <w:rPr>
          <w:rFonts w:cs="Calibri Light"/>
          <w:szCs w:val="22"/>
        </w:rPr>
        <w:t>odpora provozu</w:t>
      </w:r>
    </w:p>
    <w:sectPr w:rsidR="00040EBB" w:rsidRPr="00957549" w:rsidSect="008A2E7F">
      <w:headerReference w:type="even" r:id="rId13"/>
      <w:headerReference w:type="default" r:id="rId14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D99C9A" w16cid:durableId="1ECBCBE6"/>
  <w16cid:commentId w16cid:paraId="146CA128" w16cid:durableId="1ECBC93C"/>
  <w16cid:commentId w16cid:paraId="22C7D452" w16cid:durableId="1ECBC90C"/>
</w16cid:commentsIds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FDA4CF" w14:textId="77777777" w:rsidR="007D6A35" w:rsidRDefault="007D6A35" w:rsidP="004D0393">
      <w:r>
        <w:separator/>
      </w:r>
    </w:p>
    <w:p w14:paraId="0AA881CD" w14:textId="77777777" w:rsidR="007D6A35" w:rsidRDefault="007D6A35" w:rsidP="004D0393"/>
  </w:endnote>
  <w:endnote w:type="continuationSeparator" w:id="0">
    <w:p w14:paraId="73AABE2F" w14:textId="77777777" w:rsidR="007D6A35" w:rsidRDefault="007D6A35" w:rsidP="004D0393">
      <w:r>
        <w:continuationSeparator/>
      </w:r>
    </w:p>
    <w:p w14:paraId="784F02E3" w14:textId="77777777" w:rsidR="007D6A35" w:rsidRDefault="007D6A35" w:rsidP="004D03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uristica">
    <w:altName w:val="Times New Roman"/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 Narrow">
    <w:altName w:val="Arial Narrow"/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477"/>
      <w:gridCol w:w="5042"/>
    </w:tblGrid>
    <w:tr w:rsidR="00CD2E7F" w:rsidRPr="00F00998" w14:paraId="64BE9BEB" w14:textId="77777777">
      <w:tc>
        <w:tcPr>
          <w:tcW w:w="4536" w:type="dxa"/>
        </w:tcPr>
        <w:p w14:paraId="14D4CF1D" w14:textId="30257564" w:rsidR="00CD2E7F" w:rsidRPr="00F00998" w:rsidRDefault="00CD2E7F" w:rsidP="00F5099D">
          <w:pPr>
            <w:pStyle w:val="Zhlav"/>
            <w:rPr>
              <w:rStyle w:val="slostrnky"/>
              <w:rFonts w:ascii="Liberation Sans Narrow" w:hAnsi="Liberation Sans Narrow" w:cs="Tahoma"/>
              <w:highlight w:val="green"/>
            </w:rPr>
          </w:pPr>
          <w:r w:rsidRPr="00F00998">
            <w:rPr>
              <w:rStyle w:val="slostrnky"/>
              <w:rFonts w:ascii="Liberation Sans Narrow" w:hAnsi="Liberation Sans Narrow" w:cs="Tahoma"/>
            </w:rPr>
            <w:t xml:space="preserve">Verze: </w:t>
          </w:r>
          <w:r>
            <w:rPr>
              <w:rStyle w:val="slostrnky"/>
              <w:rFonts w:ascii="Liberation Sans Narrow" w:hAnsi="Liberation Sans Narrow" w:cs="Tahoma"/>
            </w:rPr>
            <w:t>01</w:t>
          </w:r>
        </w:p>
      </w:tc>
      <w:tc>
        <w:tcPr>
          <w:tcW w:w="5103" w:type="dxa"/>
        </w:tcPr>
        <w:p w14:paraId="431A5869" w14:textId="6E398BCA" w:rsidR="00CD2E7F" w:rsidRPr="00F00998" w:rsidRDefault="00CD2E7F" w:rsidP="00F00998">
          <w:pPr>
            <w:pStyle w:val="Zhlav"/>
            <w:jc w:val="right"/>
            <w:rPr>
              <w:rFonts w:ascii="Liberation Sans Narrow" w:hAnsi="Liberation Sans Narrow"/>
              <w:noProof/>
            </w:rPr>
          </w:pPr>
          <w:r w:rsidRPr="00F00998">
            <w:rPr>
              <w:rFonts w:ascii="Liberation Sans Narrow" w:hAnsi="Liberation Sans Narrow"/>
            </w:rPr>
            <w:t xml:space="preserve">Poslední uložení dokumentu: </w:t>
          </w:r>
          <w:r w:rsidRPr="00F00998">
            <w:rPr>
              <w:rFonts w:ascii="Liberation Sans Narrow" w:hAnsi="Liberation Sans Narrow"/>
            </w:rPr>
            <w:fldChar w:fldCharType="begin"/>
          </w:r>
          <w:r w:rsidRPr="00F00998">
            <w:rPr>
              <w:rFonts w:ascii="Liberation Sans Narrow" w:hAnsi="Liberation Sans Narrow"/>
            </w:rPr>
            <w:instrText xml:space="preserve"> SAVEDATE   \* MERGEFORMAT </w:instrText>
          </w:r>
          <w:r w:rsidRPr="00F00998">
            <w:rPr>
              <w:rFonts w:ascii="Liberation Sans Narrow" w:hAnsi="Liberation Sans Narrow"/>
            </w:rPr>
            <w:fldChar w:fldCharType="separate"/>
          </w:r>
          <w:r>
            <w:rPr>
              <w:rFonts w:ascii="Liberation Sans Narrow" w:hAnsi="Liberation Sans Narrow"/>
              <w:noProof/>
            </w:rPr>
            <w:t>07.08.2018 9:39:00</w:t>
          </w:r>
          <w:r w:rsidRPr="00F00998">
            <w:rPr>
              <w:rFonts w:ascii="Liberation Sans Narrow" w:hAnsi="Liberation Sans Narrow"/>
              <w:noProof/>
            </w:rPr>
            <w:fldChar w:fldCharType="end"/>
          </w:r>
        </w:p>
      </w:tc>
    </w:tr>
  </w:tbl>
  <w:p w14:paraId="7F707629" w14:textId="77777777" w:rsidR="00CD2E7F" w:rsidRPr="00F00998" w:rsidRDefault="00CD2E7F" w:rsidP="00464D87">
    <w:pPr>
      <w:pStyle w:val="Zpat"/>
      <w:jc w:val="center"/>
      <w:rPr>
        <w:rStyle w:val="slostrnky"/>
        <w:rFonts w:ascii="Liberation Sans Narrow" w:hAnsi="Liberation Sans Narrow" w:cs="Tahoma"/>
        <w:sz w:val="16"/>
        <w:szCs w:val="16"/>
      </w:rPr>
    </w:pPr>
  </w:p>
  <w:p w14:paraId="18720366" w14:textId="4A61BA13" w:rsidR="00CD2E7F" w:rsidRPr="00F00998" w:rsidRDefault="00CD2E7F" w:rsidP="00464D87">
    <w:pPr>
      <w:pStyle w:val="Zpat"/>
      <w:jc w:val="center"/>
      <w:rPr>
        <w:rFonts w:ascii="Liberation Sans Narrow" w:hAnsi="Liberation Sans Narrow"/>
        <w:sz w:val="20"/>
        <w:szCs w:val="20"/>
      </w:rPr>
    </w:pPr>
    <w:r w:rsidRPr="00F00998">
      <w:rPr>
        <w:rStyle w:val="slostrnky"/>
        <w:rFonts w:ascii="Liberation Sans Narrow" w:hAnsi="Liberation Sans Narrow" w:cs="Tahoma"/>
        <w:sz w:val="20"/>
        <w:szCs w:val="20"/>
      </w:rPr>
      <w:t xml:space="preserve">Strana </w:t>
    </w:r>
    <w:r w:rsidRPr="00F00998">
      <w:rPr>
        <w:rStyle w:val="slostrnky"/>
        <w:rFonts w:ascii="Liberation Sans Narrow" w:hAnsi="Liberation Sans Narrow" w:cs="Tahoma"/>
        <w:sz w:val="20"/>
        <w:szCs w:val="20"/>
      </w:rPr>
      <w:fldChar w:fldCharType="begin"/>
    </w:r>
    <w:r w:rsidRPr="00F00998">
      <w:rPr>
        <w:rStyle w:val="slostrnky"/>
        <w:rFonts w:ascii="Liberation Sans Narrow" w:hAnsi="Liberation Sans Narrow" w:cs="Tahoma"/>
        <w:sz w:val="20"/>
        <w:szCs w:val="20"/>
      </w:rPr>
      <w:instrText xml:space="preserve"> PAGE </w:instrText>
    </w:r>
    <w:r w:rsidRPr="00F00998">
      <w:rPr>
        <w:rStyle w:val="slostrnky"/>
        <w:rFonts w:ascii="Liberation Sans Narrow" w:hAnsi="Liberation Sans Narrow" w:cs="Tahoma"/>
        <w:sz w:val="20"/>
        <w:szCs w:val="20"/>
      </w:rPr>
      <w:fldChar w:fldCharType="separate"/>
    </w:r>
    <w:r w:rsidR="00415902">
      <w:rPr>
        <w:rStyle w:val="slostrnky"/>
        <w:rFonts w:ascii="Liberation Sans Narrow" w:hAnsi="Liberation Sans Narrow" w:cs="Tahoma"/>
        <w:noProof/>
        <w:sz w:val="20"/>
        <w:szCs w:val="20"/>
      </w:rPr>
      <w:t>15</w:t>
    </w:r>
    <w:r w:rsidRPr="00F00998">
      <w:rPr>
        <w:rStyle w:val="slostrnky"/>
        <w:rFonts w:ascii="Liberation Sans Narrow" w:hAnsi="Liberation Sans Narrow" w:cs="Tahoma"/>
        <w:sz w:val="20"/>
        <w:szCs w:val="20"/>
      </w:rPr>
      <w:fldChar w:fldCharType="end"/>
    </w:r>
    <w:r w:rsidRPr="00F00998">
      <w:rPr>
        <w:rStyle w:val="slostrnky"/>
        <w:rFonts w:ascii="Liberation Sans Narrow" w:hAnsi="Liberation Sans Narrow" w:cs="Tahoma"/>
        <w:sz w:val="20"/>
        <w:szCs w:val="20"/>
      </w:rPr>
      <w:t xml:space="preserve"> (celkem </w:t>
    </w:r>
    <w:r w:rsidRPr="00F00998">
      <w:rPr>
        <w:rStyle w:val="slostrnky"/>
        <w:rFonts w:ascii="Liberation Sans Narrow" w:hAnsi="Liberation Sans Narrow" w:cs="Tahoma"/>
        <w:sz w:val="20"/>
        <w:szCs w:val="20"/>
      </w:rPr>
      <w:fldChar w:fldCharType="begin"/>
    </w:r>
    <w:r w:rsidRPr="00F00998">
      <w:rPr>
        <w:rStyle w:val="slostrnky"/>
        <w:rFonts w:ascii="Liberation Sans Narrow" w:hAnsi="Liberation Sans Narrow" w:cs="Tahoma"/>
        <w:sz w:val="20"/>
        <w:szCs w:val="20"/>
      </w:rPr>
      <w:instrText xml:space="preserve"> NUMPAGES </w:instrText>
    </w:r>
    <w:r w:rsidRPr="00F00998">
      <w:rPr>
        <w:rStyle w:val="slostrnky"/>
        <w:rFonts w:ascii="Liberation Sans Narrow" w:hAnsi="Liberation Sans Narrow" w:cs="Tahoma"/>
        <w:sz w:val="20"/>
        <w:szCs w:val="20"/>
      </w:rPr>
      <w:fldChar w:fldCharType="separate"/>
    </w:r>
    <w:r w:rsidR="00415902">
      <w:rPr>
        <w:rStyle w:val="slostrnky"/>
        <w:rFonts w:ascii="Liberation Sans Narrow" w:hAnsi="Liberation Sans Narrow" w:cs="Tahoma"/>
        <w:noProof/>
        <w:sz w:val="20"/>
        <w:szCs w:val="20"/>
      </w:rPr>
      <w:t>22</w:t>
    </w:r>
    <w:r w:rsidRPr="00F00998">
      <w:rPr>
        <w:rStyle w:val="slostrnky"/>
        <w:rFonts w:ascii="Liberation Sans Narrow" w:hAnsi="Liberation Sans Narrow" w:cs="Tahoma"/>
        <w:sz w:val="20"/>
        <w:szCs w:val="20"/>
      </w:rPr>
      <w:fldChar w:fldCharType="end"/>
    </w:r>
    <w:r w:rsidRPr="00F00998">
      <w:rPr>
        <w:rStyle w:val="slostrnky"/>
        <w:rFonts w:ascii="Liberation Sans Narrow" w:hAnsi="Liberation Sans Narrow" w:cs="Tahoma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A0746D" w14:textId="77777777" w:rsidR="007D6A35" w:rsidRDefault="007D6A35" w:rsidP="004D0393">
      <w:r>
        <w:separator/>
      </w:r>
    </w:p>
    <w:p w14:paraId="2B9F5CF4" w14:textId="77777777" w:rsidR="007D6A35" w:rsidRDefault="007D6A35" w:rsidP="004D0393"/>
  </w:footnote>
  <w:footnote w:type="continuationSeparator" w:id="0">
    <w:p w14:paraId="5C0547ED" w14:textId="77777777" w:rsidR="007D6A35" w:rsidRDefault="007D6A35" w:rsidP="004D0393">
      <w:r>
        <w:continuationSeparator/>
      </w:r>
    </w:p>
    <w:p w14:paraId="51A5268A" w14:textId="77777777" w:rsidR="007D6A35" w:rsidRDefault="007D6A35" w:rsidP="004D03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0B2EB" w14:textId="45F296CF" w:rsidR="00CD2E7F" w:rsidRDefault="00CD2E7F" w:rsidP="009231A7">
    <w:pPr>
      <w:pStyle w:val="Zhlav"/>
    </w:pPr>
    <w:r w:rsidRPr="00117F2B">
      <w:rPr>
        <w:rFonts w:ascii="Garamond" w:hAnsi="Garamond"/>
        <w:noProof/>
        <w:spacing w:val="20"/>
        <w:shd w:val="clear" w:color="auto" w:fill="FFFFFF"/>
        <w:lang w:eastAsia="cs-CZ"/>
      </w:rPr>
      <w:drawing>
        <wp:inline distT="0" distB="0" distL="0" distR="0" wp14:anchorId="3D277CEF" wp14:editId="1B2DC531">
          <wp:extent cx="5723255" cy="83883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3255" cy="838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7572C4" w14:textId="77777777" w:rsidR="00CD2E7F" w:rsidRDefault="00CD2E7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FE935" w14:textId="77777777" w:rsidR="00CD2E7F" w:rsidRDefault="00CD2E7F" w:rsidP="004D039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67"/>
      <w:gridCol w:w="6852"/>
    </w:tblGrid>
    <w:tr w:rsidR="00CD2E7F" w:rsidRPr="00940436" w14:paraId="011EE57C" w14:textId="77777777">
      <w:trPr>
        <w:trHeight w:val="460"/>
      </w:trPr>
      <w:tc>
        <w:tcPr>
          <w:tcW w:w="9639" w:type="dxa"/>
          <w:gridSpan w:val="2"/>
        </w:tcPr>
        <w:p w14:paraId="47901356" w14:textId="77777777" w:rsidR="00CD2E7F" w:rsidRPr="006C3FBE" w:rsidRDefault="00CD2E7F" w:rsidP="001D1AD1">
          <w:pPr>
            <w:pStyle w:val="PFI-Zhlav-Nadpis"/>
          </w:pPr>
          <w:r w:rsidRPr="006C3FBE">
            <w:t>Zadávací dokumentace veřejné zakázky</w:t>
          </w:r>
        </w:p>
        <w:p w14:paraId="7D42A773" w14:textId="290757B6" w:rsidR="00CD2E7F" w:rsidRPr="00DB2104" w:rsidRDefault="00CD2E7F" w:rsidP="004E47A2">
          <w:pPr>
            <w:pStyle w:val="PFI-Zhlav-Nadpis-Bold"/>
          </w:pPr>
          <w:r w:rsidRPr="00DB2104">
            <w:t>„</w:t>
          </w:r>
          <w:r w:rsidRPr="00DB2104">
            <w:fldChar w:fldCharType="begin"/>
          </w:r>
          <w:r w:rsidRPr="00DB2104">
            <w:instrText xml:space="preserve"> REF zakazka_jmeno \h  \* MERGEFORMAT </w:instrText>
          </w:r>
          <w:r w:rsidRPr="00DB2104">
            <w:fldChar w:fldCharType="separate"/>
          </w:r>
          <w:r w:rsidRPr="00FC2C87">
            <w:rPr>
              <w:bCs/>
            </w:rPr>
            <w:t>Modernizace informačního systému Města</w:t>
          </w:r>
          <w:r w:rsidRPr="00FC2C87">
            <w:t xml:space="preserve"> Mariánské Lázně</w:t>
          </w:r>
          <w:r w:rsidRPr="00DB2104">
            <w:fldChar w:fldCharType="end"/>
          </w:r>
          <w:r w:rsidRPr="00DB2104">
            <w:t>“</w:t>
          </w:r>
        </w:p>
      </w:tc>
    </w:tr>
    <w:tr w:rsidR="00CD2E7F" w:rsidRPr="001D1AD1" w14:paraId="516D07D7" w14:textId="77777777">
      <w:tc>
        <w:tcPr>
          <w:tcW w:w="2694" w:type="dxa"/>
        </w:tcPr>
        <w:p w14:paraId="19567F85" w14:textId="77777777" w:rsidR="00CD2E7F" w:rsidRPr="006C3FBE" w:rsidRDefault="00CD2E7F" w:rsidP="001D1AD1">
          <w:pPr>
            <w:pStyle w:val="PFI-Zhlav"/>
          </w:pPr>
          <w:r w:rsidRPr="006C3FBE">
            <w:t xml:space="preserve">Zadavatel veřejné zakázky: </w:t>
          </w:r>
        </w:p>
      </w:tc>
      <w:tc>
        <w:tcPr>
          <w:tcW w:w="6945" w:type="dxa"/>
        </w:tcPr>
        <w:p w14:paraId="2666D102" w14:textId="257A8E23" w:rsidR="00CD2E7F" w:rsidRPr="00DB2104" w:rsidRDefault="00CD2E7F" w:rsidP="001D1AD1">
          <w:pPr>
            <w:pStyle w:val="PFI-Zhlav"/>
          </w:pPr>
          <w:fldSimple w:instr=" REF  zadavatel_jmeno  \* MERGEFORMAT ">
            <w:r w:rsidRPr="00FC2C87">
              <w:t>Město Mariánské Lázně</w:t>
            </w:r>
          </w:fldSimple>
        </w:p>
      </w:tc>
    </w:tr>
    <w:tr w:rsidR="00CD2E7F" w:rsidRPr="001D1AD1" w14:paraId="4CF26DC3" w14:textId="77777777">
      <w:tc>
        <w:tcPr>
          <w:tcW w:w="2694" w:type="dxa"/>
        </w:tcPr>
        <w:p w14:paraId="5ED29796" w14:textId="77777777" w:rsidR="00CD2E7F" w:rsidRPr="001D1AD1" w:rsidRDefault="00CD2E7F" w:rsidP="001D1AD1">
          <w:pPr>
            <w:pStyle w:val="PFI-Zhlav"/>
          </w:pPr>
          <w:r w:rsidRPr="001D1AD1">
            <w:t xml:space="preserve">Poradce veřejné zakázky: </w:t>
          </w:r>
        </w:p>
      </w:tc>
      <w:tc>
        <w:tcPr>
          <w:tcW w:w="6945" w:type="dxa"/>
        </w:tcPr>
        <w:p w14:paraId="500E3ACB" w14:textId="77777777" w:rsidR="00CD2E7F" w:rsidRPr="001D1AD1" w:rsidRDefault="00CD2E7F" w:rsidP="001D1AD1">
          <w:pPr>
            <w:pStyle w:val="PFI-Zhlav"/>
          </w:pPr>
          <w:r w:rsidRPr="001D1AD1">
            <w:t>PFI s.r.o., www.pfi.cz</w:t>
          </w:r>
        </w:p>
      </w:tc>
    </w:tr>
  </w:tbl>
  <w:p w14:paraId="0B69C0E3" w14:textId="77777777" w:rsidR="00CD2E7F" w:rsidRPr="0087607B" w:rsidRDefault="00CD2E7F" w:rsidP="001D1AD1">
    <w:pPr>
      <w:pStyle w:val="PFI-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140EB2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6"/>
    <w:multiLevelType w:val="multilevel"/>
    <w:tmpl w:val="55621BE8"/>
    <w:name w:val="Outline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04305DE3"/>
    <w:multiLevelType w:val="hybridMultilevel"/>
    <w:tmpl w:val="4D8A08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6A5361"/>
    <w:multiLevelType w:val="multilevel"/>
    <w:tmpl w:val="C34AA43C"/>
    <w:lvl w:ilvl="0">
      <w:start w:val="1"/>
      <w:numFmt w:val="decimal"/>
      <w:lvlText w:val="%1."/>
      <w:lvlJc w:val="left"/>
      <w:pPr>
        <w:tabs>
          <w:tab w:val="num" w:pos="1069"/>
        </w:tabs>
        <w:ind w:left="1276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</w:rPr>
    </w:lvl>
    <w:lvl w:ilvl="6">
      <w:start w:val="1"/>
      <w:numFmt w:val="upperRoman"/>
      <w:lvlText w:val="%7."/>
      <w:lvlJc w:val="right"/>
      <w:pPr>
        <w:ind w:left="107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9" w15:restartNumberingAfterBreak="0">
    <w:nsid w:val="0AAD4A33"/>
    <w:multiLevelType w:val="multilevel"/>
    <w:tmpl w:val="B99E5F68"/>
    <w:name w:val="Outline222222223322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1134"/>
        </w:tabs>
        <w:ind w:left="1134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0" w15:restartNumberingAfterBreak="0">
    <w:nsid w:val="0C0419E5"/>
    <w:multiLevelType w:val="hybridMultilevel"/>
    <w:tmpl w:val="985684C0"/>
    <w:name w:val="Outline2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3D2DAC"/>
    <w:multiLevelType w:val="hybridMultilevel"/>
    <w:tmpl w:val="E5022D88"/>
    <w:name w:val="Outline22222222332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172A6424"/>
    <w:multiLevelType w:val="hybridMultilevel"/>
    <w:tmpl w:val="25C68038"/>
    <w:name w:val="Outline2222222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5474"/>
    <w:multiLevelType w:val="hybridMultilevel"/>
    <w:tmpl w:val="7F263752"/>
    <w:name w:val="Outline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BB760E"/>
    <w:multiLevelType w:val="multilevel"/>
    <w:tmpl w:val="1B28450E"/>
    <w:lvl w:ilvl="0">
      <w:start w:val="1"/>
      <w:numFmt w:val="decimal"/>
      <w:pStyle w:val="Nadpis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PFI-odstavec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pStyle w:val="PFI-pismeno"/>
      <w:lvlText w:val="(%5)"/>
      <w:lvlJc w:val="left"/>
      <w:pPr>
        <w:tabs>
          <w:tab w:val="num" w:pos="1361"/>
        </w:tabs>
        <w:ind w:left="680" w:firstLine="0"/>
      </w:pPr>
      <w:rPr>
        <w:rFonts w:hint="default"/>
        <w:b w:val="0"/>
      </w:rPr>
    </w:lvl>
    <w:lvl w:ilvl="5">
      <w:start w:val="1"/>
      <w:numFmt w:val="lowerRoman"/>
      <w:pStyle w:val="PFI-msk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24DC3F77"/>
    <w:multiLevelType w:val="hybridMultilevel"/>
    <w:tmpl w:val="33362868"/>
    <w:lvl w:ilvl="0" w:tplc="304088D8">
      <w:start w:val="3"/>
      <w:numFmt w:val="bullet"/>
      <w:lvlText w:val="-"/>
      <w:lvlJc w:val="left"/>
      <w:pPr>
        <w:ind w:left="720" w:hanging="360"/>
      </w:pPr>
      <w:rPr>
        <w:rFonts w:ascii="Heuristica" w:eastAsia="Times New Roman" w:hAnsi="Heuristic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F42C61"/>
    <w:multiLevelType w:val="hybridMultilevel"/>
    <w:tmpl w:val="95241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64F2F"/>
    <w:multiLevelType w:val="hybridMultilevel"/>
    <w:tmpl w:val="523E9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673165"/>
    <w:multiLevelType w:val="hybridMultilevel"/>
    <w:tmpl w:val="5F025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3318A"/>
    <w:multiLevelType w:val="hybridMultilevel"/>
    <w:tmpl w:val="6D6EAC62"/>
    <w:name w:val="Outline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CD420A"/>
    <w:multiLevelType w:val="hybridMultilevel"/>
    <w:tmpl w:val="37A627E2"/>
    <w:lvl w:ilvl="0" w:tplc="304088D8">
      <w:start w:val="3"/>
      <w:numFmt w:val="bullet"/>
      <w:lvlText w:val="-"/>
      <w:lvlJc w:val="left"/>
      <w:pPr>
        <w:ind w:left="720" w:hanging="360"/>
      </w:pPr>
      <w:rPr>
        <w:rFonts w:ascii="Heuristica" w:eastAsia="Times New Roman" w:hAnsi="Heuristic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47294"/>
    <w:multiLevelType w:val="hybridMultilevel"/>
    <w:tmpl w:val="DFA44978"/>
    <w:name w:val="Outline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5E0C8D"/>
    <w:multiLevelType w:val="multilevel"/>
    <w:tmpl w:val="0809001D"/>
    <w:name w:val="Outline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BA06109"/>
    <w:multiLevelType w:val="hybridMultilevel"/>
    <w:tmpl w:val="D9A8AF4E"/>
    <w:name w:val="Outline222222223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10532B"/>
    <w:multiLevelType w:val="hybridMultilevel"/>
    <w:tmpl w:val="78D035C6"/>
    <w:name w:val="Outline22222222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785F56"/>
    <w:multiLevelType w:val="hybridMultilevel"/>
    <w:tmpl w:val="E52080DC"/>
    <w:lvl w:ilvl="0" w:tplc="304088D8">
      <w:start w:val="7"/>
      <w:numFmt w:val="bullet"/>
      <w:lvlText w:val="-"/>
      <w:lvlJc w:val="left"/>
      <w:pPr>
        <w:ind w:left="720" w:hanging="360"/>
      </w:pPr>
      <w:rPr>
        <w:rFonts w:ascii="Heuristica" w:eastAsia="Times New Roman" w:hAnsi="Heuristic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0462DD"/>
    <w:multiLevelType w:val="hybridMultilevel"/>
    <w:tmpl w:val="EF8A25AA"/>
    <w:name w:val="Outline2222222233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69D42DB8"/>
    <w:multiLevelType w:val="hybridMultilevel"/>
    <w:tmpl w:val="B1B88ABA"/>
    <w:name w:val="Outline2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 w15:restartNumberingAfterBreak="0">
    <w:nsid w:val="6C8E4CBF"/>
    <w:multiLevelType w:val="hybridMultilevel"/>
    <w:tmpl w:val="DC96240E"/>
    <w:name w:val="Outline2222222222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AD785A"/>
    <w:multiLevelType w:val="hybridMultilevel"/>
    <w:tmpl w:val="AB12705A"/>
    <w:name w:val="Outline22222222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514390"/>
    <w:multiLevelType w:val="hybridMultilevel"/>
    <w:tmpl w:val="008AF94A"/>
    <w:name w:val="Outline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0771FB"/>
    <w:multiLevelType w:val="hybridMultilevel"/>
    <w:tmpl w:val="070EF6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AD2196"/>
    <w:multiLevelType w:val="multilevel"/>
    <w:tmpl w:val="B36A9480"/>
    <w:name w:val="Outline2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7DE04653"/>
    <w:multiLevelType w:val="hybridMultilevel"/>
    <w:tmpl w:val="42A660DA"/>
    <w:name w:val="Outline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4"/>
  </w:num>
  <w:num w:numId="3">
    <w:abstractNumId w:val="0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28"/>
  </w:num>
  <w:num w:numId="7">
    <w:abstractNumId w:val="18"/>
  </w:num>
  <w:num w:numId="8">
    <w:abstractNumId w:val="15"/>
  </w:num>
  <w:num w:numId="9">
    <w:abstractNumId w:val="17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6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4"/>
  </w:num>
  <w:num w:numId="23">
    <w:abstractNumId w:val="8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18"/>
    <w:rsid w:val="00000743"/>
    <w:rsid w:val="000012A9"/>
    <w:rsid w:val="000017D7"/>
    <w:rsid w:val="0000222C"/>
    <w:rsid w:val="0000534A"/>
    <w:rsid w:val="0000650C"/>
    <w:rsid w:val="00010530"/>
    <w:rsid w:val="000131D6"/>
    <w:rsid w:val="00013641"/>
    <w:rsid w:val="00014E0C"/>
    <w:rsid w:val="000170CF"/>
    <w:rsid w:val="00020CB0"/>
    <w:rsid w:val="00023132"/>
    <w:rsid w:val="00023636"/>
    <w:rsid w:val="00023CED"/>
    <w:rsid w:val="000242BB"/>
    <w:rsid w:val="0002534B"/>
    <w:rsid w:val="000259A6"/>
    <w:rsid w:val="0002645E"/>
    <w:rsid w:val="00026596"/>
    <w:rsid w:val="00026A8A"/>
    <w:rsid w:val="00026B8D"/>
    <w:rsid w:val="00030BBF"/>
    <w:rsid w:val="000321BE"/>
    <w:rsid w:val="00032EB3"/>
    <w:rsid w:val="00035CC3"/>
    <w:rsid w:val="000364D7"/>
    <w:rsid w:val="00037D64"/>
    <w:rsid w:val="00040EBB"/>
    <w:rsid w:val="00042DFA"/>
    <w:rsid w:val="000435E6"/>
    <w:rsid w:val="0004717B"/>
    <w:rsid w:val="00050C6F"/>
    <w:rsid w:val="00052D37"/>
    <w:rsid w:val="0005479C"/>
    <w:rsid w:val="000560EC"/>
    <w:rsid w:val="00056A27"/>
    <w:rsid w:val="0006067D"/>
    <w:rsid w:val="000610CF"/>
    <w:rsid w:val="0006157D"/>
    <w:rsid w:val="000625FA"/>
    <w:rsid w:val="00062A3A"/>
    <w:rsid w:val="00062B66"/>
    <w:rsid w:val="00065455"/>
    <w:rsid w:val="00065ACE"/>
    <w:rsid w:val="0006620A"/>
    <w:rsid w:val="0006701A"/>
    <w:rsid w:val="00067B92"/>
    <w:rsid w:val="00071DD1"/>
    <w:rsid w:val="0007227C"/>
    <w:rsid w:val="0007488F"/>
    <w:rsid w:val="00080AA1"/>
    <w:rsid w:val="00083590"/>
    <w:rsid w:val="00083B16"/>
    <w:rsid w:val="00083D0F"/>
    <w:rsid w:val="00083EF4"/>
    <w:rsid w:val="00083F69"/>
    <w:rsid w:val="00085F4C"/>
    <w:rsid w:val="000909BA"/>
    <w:rsid w:val="00090C9A"/>
    <w:rsid w:val="000933A6"/>
    <w:rsid w:val="00096D82"/>
    <w:rsid w:val="00096FF6"/>
    <w:rsid w:val="00097911"/>
    <w:rsid w:val="00097AE3"/>
    <w:rsid w:val="000A04D7"/>
    <w:rsid w:val="000A0570"/>
    <w:rsid w:val="000A1ACB"/>
    <w:rsid w:val="000A2ECC"/>
    <w:rsid w:val="000A5A52"/>
    <w:rsid w:val="000A7642"/>
    <w:rsid w:val="000B0BB7"/>
    <w:rsid w:val="000B0D77"/>
    <w:rsid w:val="000B19DF"/>
    <w:rsid w:val="000B1F84"/>
    <w:rsid w:val="000B24F6"/>
    <w:rsid w:val="000B34B9"/>
    <w:rsid w:val="000B4061"/>
    <w:rsid w:val="000B5592"/>
    <w:rsid w:val="000B6C16"/>
    <w:rsid w:val="000C1227"/>
    <w:rsid w:val="000C2937"/>
    <w:rsid w:val="000C2C77"/>
    <w:rsid w:val="000C518D"/>
    <w:rsid w:val="000C6426"/>
    <w:rsid w:val="000C6C4F"/>
    <w:rsid w:val="000D0538"/>
    <w:rsid w:val="000D0AF1"/>
    <w:rsid w:val="000D0D7B"/>
    <w:rsid w:val="000D3148"/>
    <w:rsid w:val="000D410A"/>
    <w:rsid w:val="000D45F5"/>
    <w:rsid w:val="000E018A"/>
    <w:rsid w:val="000E2176"/>
    <w:rsid w:val="000E23F3"/>
    <w:rsid w:val="000E3050"/>
    <w:rsid w:val="000E32FC"/>
    <w:rsid w:val="000E5365"/>
    <w:rsid w:val="000F02E2"/>
    <w:rsid w:val="000F08D0"/>
    <w:rsid w:val="000F0CBC"/>
    <w:rsid w:val="000F2D9D"/>
    <w:rsid w:val="000F3D23"/>
    <w:rsid w:val="000F46F1"/>
    <w:rsid w:val="000F4F7B"/>
    <w:rsid w:val="000F6B7F"/>
    <w:rsid w:val="0010260C"/>
    <w:rsid w:val="00104D65"/>
    <w:rsid w:val="00105D42"/>
    <w:rsid w:val="001060B7"/>
    <w:rsid w:val="0010645D"/>
    <w:rsid w:val="00106814"/>
    <w:rsid w:val="001072D1"/>
    <w:rsid w:val="001122F2"/>
    <w:rsid w:val="0011284D"/>
    <w:rsid w:val="00114489"/>
    <w:rsid w:val="0011541E"/>
    <w:rsid w:val="00115C0D"/>
    <w:rsid w:val="00120EDC"/>
    <w:rsid w:val="00123601"/>
    <w:rsid w:val="0012400F"/>
    <w:rsid w:val="00124FCC"/>
    <w:rsid w:val="00125A45"/>
    <w:rsid w:val="0013308F"/>
    <w:rsid w:val="0013349C"/>
    <w:rsid w:val="00135FB2"/>
    <w:rsid w:val="0013703F"/>
    <w:rsid w:val="0014137E"/>
    <w:rsid w:val="001421B4"/>
    <w:rsid w:val="00142316"/>
    <w:rsid w:val="00143A08"/>
    <w:rsid w:val="00143FAF"/>
    <w:rsid w:val="00145563"/>
    <w:rsid w:val="00145D02"/>
    <w:rsid w:val="00146F3B"/>
    <w:rsid w:val="00150533"/>
    <w:rsid w:val="00150C43"/>
    <w:rsid w:val="001510FF"/>
    <w:rsid w:val="0015220D"/>
    <w:rsid w:val="0015227F"/>
    <w:rsid w:val="00152E12"/>
    <w:rsid w:val="00153284"/>
    <w:rsid w:val="00153F4A"/>
    <w:rsid w:val="00154E22"/>
    <w:rsid w:val="0015557D"/>
    <w:rsid w:val="00156527"/>
    <w:rsid w:val="00156745"/>
    <w:rsid w:val="00157F96"/>
    <w:rsid w:val="001602BC"/>
    <w:rsid w:val="00160B0C"/>
    <w:rsid w:val="00167A89"/>
    <w:rsid w:val="00167EFB"/>
    <w:rsid w:val="00170C16"/>
    <w:rsid w:val="001742EF"/>
    <w:rsid w:val="0017582C"/>
    <w:rsid w:val="00175FE4"/>
    <w:rsid w:val="00176B8D"/>
    <w:rsid w:val="001772EF"/>
    <w:rsid w:val="00180A65"/>
    <w:rsid w:val="00181A5B"/>
    <w:rsid w:val="00181C5F"/>
    <w:rsid w:val="00182008"/>
    <w:rsid w:val="00183987"/>
    <w:rsid w:val="001853D5"/>
    <w:rsid w:val="001869F3"/>
    <w:rsid w:val="00190B73"/>
    <w:rsid w:val="00191D7C"/>
    <w:rsid w:val="00191DF8"/>
    <w:rsid w:val="00192848"/>
    <w:rsid w:val="0019408B"/>
    <w:rsid w:val="00197EF9"/>
    <w:rsid w:val="001A0289"/>
    <w:rsid w:val="001A052C"/>
    <w:rsid w:val="001A1BBD"/>
    <w:rsid w:val="001A219D"/>
    <w:rsid w:val="001A2C5D"/>
    <w:rsid w:val="001A2D8C"/>
    <w:rsid w:val="001A3FAD"/>
    <w:rsid w:val="001A65FE"/>
    <w:rsid w:val="001A68A9"/>
    <w:rsid w:val="001A6CBD"/>
    <w:rsid w:val="001A7EE3"/>
    <w:rsid w:val="001B200D"/>
    <w:rsid w:val="001B36FF"/>
    <w:rsid w:val="001B39C9"/>
    <w:rsid w:val="001B5677"/>
    <w:rsid w:val="001C043B"/>
    <w:rsid w:val="001C0ABD"/>
    <w:rsid w:val="001C199E"/>
    <w:rsid w:val="001C4097"/>
    <w:rsid w:val="001C4A2E"/>
    <w:rsid w:val="001C6984"/>
    <w:rsid w:val="001D08A6"/>
    <w:rsid w:val="001D0E4B"/>
    <w:rsid w:val="001D10F8"/>
    <w:rsid w:val="001D140C"/>
    <w:rsid w:val="001D18B3"/>
    <w:rsid w:val="001D1AD1"/>
    <w:rsid w:val="001D2035"/>
    <w:rsid w:val="001D4F72"/>
    <w:rsid w:val="001D5CC8"/>
    <w:rsid w:val="001D7EAA"/>
    <w:rsid w:val="001E001D"/>
    <w:rsid w:val="001E0840"/>
    <w:rsid w:val="001E2612"/>
    <w:rsid w:val="001E3C11"/>
    <w:rsid w:val="001E4328"/>
    <w:rsid w:val="001E495A"/>
    <w:rsid w:val="001E6937"/>
    <w:rsid w:val="001E699C"/>
    <w:rsid w:val="001E6B16"/>
    <w:rsid w:val="001E6EA0"/>
    <w:rsid w:val="001F0A9B"/>
    <w:rsid w:val="001F1EFF"/>
    <w:rsid w:val="001F223D"/>
    <w:rsid w:val="001F5FE2"/>
    <w:rsid w:val="001F73A9"/>
    <w:rsid w:val="0020045B"/>
    <w:rsid w:val="0020071D"/>
    <w:rsid w:val="00200BAA"/>
    <w:rsid w:val="00203610"/>
    <w:rsid w:val="00203AAC"/>
    <w:rsid w:val="002115A9"/>
    <w:rsid w:val="00212FFE"/>
    <w:rsid w:val="00213CA5"/>
    <w:rsid w:val="0021437A"/>
    <w:rsid w:val="00214AFC"/>
    <w:rsid w:val="00216B51"/>
    <w:rsid w:val="00217150"/>
    <w:rsid w:val="00222429"/>
    <w:rsid w:val="00222B5E"/>
    <w:rsid w:val="00223680"/>
    <w:rsid w:val="00224066"/>
    <w:rsid w:val="00224584"/>
    <w:rsid w:val="00224B40"/>
    <w:rsid w:val="00224B49"/>
    <w:rsid w:val="00226089"/>
    <w:rsid w:val="0022636D"/>
    <w:rsid w:val="0023435C"/>
    <w:rsid w:val="00236159"/>
    <w:rsid w:val="0024081D"/>
    <w:rsid w:val="00243AD7"/>
    <w:rsid w:val="00243C79"/>
    <w:rsid w:val="00246046"/>
    <w:rsid w:val="00247208"/>
    <w:rsid w:val="00250530"/>
    <w:rsid w:val="0025111F"/>
    <w:rsid w:val="00252FAD"/>
    <w:rsid w:val="002563EC"/>
    <w:rsid w:val="00256437"/>
    <w:rsid w:val="00257080"/>
    <w:rsid w:val="00257948"/>
    <w:rsid w:val="00262E6A"/>
    <w:rsid w:val="002633DE"/>
    <w:rsid w:val="00263DD1"/>
    <w:rsid w:val="0026443D"/>
    <w:rsid w:val="00264FD7"/>
    <w:rsid w:val="00265FB1"/>
    <w:rsid w:val="00266328"/>
    <w:rsid w:val="002673D8"/>
    <w:rsid w:val="0026787E"/>
    <w:rsid w:val="00270898"/>
    <w:rsid w:val="00271960"/>
    <w:rsid w:val="00274488"/>
    <w:rsid w:val="00276DC2"/>
    <w:rsid w:val="00277843"/>
    <w:rsid w:val="00280457"/>
    <w:rsid w:val="00281121"/>
    <w:rsid w:val="002819B2"/>
    <w:rsid w:val="00282FAA"/>
    <w:rsid w:val="002845AC"/>
    <w:rsid w:val="00284BA9"/>
    <w:rsid w:val="00284D40"/>
    <w:rsid w:val="00287774"/>
    <w:rsid w:val="00287FA9"/>
    <w:rsid w:val="00291C30"/>
    <w:rsid w:val="00291D01"/>
    <w:rsid w:val="0029249E"/>
    <w:rsid w:val="00293FB6"/>
    <w:rsid w:val="0029504B"/>
    <w:rsid w:val="0029562D"/>
    <w:rsid w:val="00296217"/>
    <w:rsid w:val="00296CA9"/>
    <w:rsid w:val="00296D33"/>
    <w:rsid w:val="0029739D"/>
    <w:rsid w:val="00297B09"/>
    <w:rsid w:val="002A165E"/>
    <w:rsid w:val="002A2134"/>
    <w:rsid w:val="002A2741"/>
    <w:rsid w:val="002A2F51"/>
    <w:rsid w:val="002A48F8"/>
    <w:rsid w:val="002A647C"/>
    <w:rsid w:val="002A654E"/>
    <w:rsid w:val="002A7BBE"/>
    <w:rsid w:val="002B082D"/>
    <w:rsid w:val="002B14DB"/>
    <w:rsid w:val="002B3382"/>
    <w:rsid w:val="002B41EA"/>
    <w:rsid w:val="002B4BDF"/>
    <w:rsid w:val="002B5105"/>
    <w:rsid w:val="002B5AA9"/>
    <w:rsid w:val="002B6BE0"/>
    <w:rsid w:val="002B73AA"/>
    <w:rsid w:val="002C0591"/>
    <w:rsid w:val="002C0917"/>
    <w:rsid w:val="002C1763"/>
    <w:rsid w:val="002C1AA7"/>
    <w:rsid w:val="002C2D3D"/>
    <w:rsid w:val="002C3344"/>
    <w:rsid w:val="002C4B36"/>
    <w:rsid w:val="002C5DB7"/>
    <w:rsid w:val="002C7474"/>
    <w:rsid w:val="002D031D"/>
    <w:rsid w:val="002D5858"/>
    <w:rsid w:val="002E0687"/>
    <w:rsid w:val="002E11A2"/>
    <w:rsid w:val="002E7462"/>
    <w:rsid w:val="002E76D2"/>
    <w:rsid w:val="002F057D"/>
    <w:rsid w:val="002F13EE"/>
    <w:rsid w:val="002F1545"/>
    <w:rsid w:val="002F416A"/>
    <w:rsid w:val="002F6892"/>
    <w:rsid w:val="002F7434"/>
    <w:rsid w:val="002F76EF"/>
    <w:rsid w:val="003012DA"/>
    <w:rsid w:val="00303D34"/>
    <w:rsid w:val="0031047F"/>
    <w:rsid w:val="003135C1"/>
    <w:rsid w:val="00313C09"/>
    <w:rsid w:val="00317007"/>
    <w:rsid w:val="00320272"/>
    <w:rsid w:val="00320FE3"/>
    <w:rsid w:val="00321116"/>
    <w:rsid w:val="00322221"/>
    <w:rsid w:val="0032725B"/>
    <w:rsid w:val="00327357"/>
    <w:rsid w:val="003308A0"/>
    <w:rsid w:val="00332254"/>
    <w:rsid w:val="003330EE"/>
    <w:rsid w:val="00333184"/>
    <w:rsid w:val="003345BB"/>
    <w:rsid w:val="00335092"/>
    <w:rsid w:val="00335666"/>
    <w:rsid w:val="003369BE"/>
    <w:rsid w:val="00337190"/>
    <w:rsid w:val="00337499"/>
    <w:rsid w:val="003418E0"/>
    <w:rsid w:val="003429CC"/>
    <w:rsid w:val="00342F22"/>
    <w:rsid w:val="00342FE3"/>
    <w:rsid w:val="003444E2"/>
    <w:rsid w:val="0034520D"/>
    <w:rsid w:val="00345779"/>
    <w:rsid w:val="003503F9"/>
    <w:rsid w:val="00350488"/>
    <w:rsid w:val="00350973"/>
    <w:rsid w:val="00350BBD"/>
    <w:rsid w:val="003524BF"/>
    <w:rsid w:val="00355283"/>
    <w:rsid w:val="00357182"/>
    <w:rsid w:val="0035787E"/>
    <w:rsid w:val="0036023F"/>
    <w:rsid w:val="00360B5F"/>
    <w:rsid w:val="003612AC"/>
    <w:rsid w:val="003612B5"/>
    <w:rsid w:val="00361F48"/>
    <w:rsid w:val="0036246D"/>
    <w:rsid w:val="0036380B"/>
    <w:rsid w:val="00363E5C"/>
    <w:rsid w:val="003657C8"/>
    <w:rsid w:val="00370885"/>
    <w:rsid w:val="00370ED2"/>
    <w:rsid w:val="0037434E"/>
    <w:rsid w:val="00374D0C"/>
    <w:rsid w:val="00374DCB"/>
    <w:rsid w:val="00376DDA"/>
    <w:rsid w:val="003804F7"/>
    <w:rsid w:val="003821E7"/>
    <w:rsid w:val="003822B4"/>
    <w:rsid w:val="00383433"/>
    <w:rsid w:val="003840F2"/>
    <w:rsid w:val="00385F28"/>
    <w:rsid w:val="00393A4B"/>
    <w:rsid w:val="003949AB"/>
    <w:rsid w:val="0039550D"/>
    <w:rsid w:val="00397054"/>
    <w:rsid w:val="003975F5"/>
    <w:rsid w:val="003A1244"/>
    <w:rsid w:val="003A2281"/>
    <w:rsid w:val="003A2379"/>
    <w:rsid w:val="003A51EB"/>
    <w:rsid w:val="003A5D73"/>
    <w:rsid w:val="003A7D69"/>
    <w:rsid w:val="003B1FAF"/>
    <w:rsid w:val="003B3C04"/>
    <w:rsid w:val="003B4A2A"/>
    <w:rsid w:val="003B6C9C"/>
    <w:rsid w:val="003B7B4C"/>
    <w:rsid w:val="003C02AF"/>
    <w:rsid w:val="003C6D44"/>
    <w:rsid w:val="003C76A4"/>
    <w:rsid w:val="003D0B4D"/>
    <w:rsid w:val="003D214E"/>
    <w:rsid w:val="003D3105"/>
    <w:rsid w:val="003D3AD9"/>
    <w:rsid w:val="003E1914"/>
    <w:rsid w:val="003E30CC"/>
    <w:rsid w:val="003E5BE1"/>
    <w:rsid w:val="003E760C"/>
    <w:rsid w:val="003F239B"/>
    <w:rsid w:val="00401D8C"/>
    <w:rsid w:val="00405421"/>
    <w:rsid w:val="00405D55"/>
    <w:rsid w:val="004068D9"/>
    <w:rsid w:val="0040706D"/>
    <w:rsid w:val="00410464"/>
    <w:rsid w:val="0041081D"/>
    <w:rsid w:val="00413165"/>
    <w:rsid w:val="00413B64"/>
    <w:rsid w:val="00415902"/>
    <w:rsid w:val="00415F32"/>
    <w:rsid w:val="004169FD"/>
    <w:rsid w:val="00421A6F"/>
    <w:rsid w:val="00423CCE"/>
    <w:rsid w:val="00423DFA"/>
    <w:rsid w:val="00425D49"/>
    <w:rsid w:val="00430071"/>
    <w:rsid w:val="00430B94"/>
    <w:rsid w:val="00430C6D"/>
    <w:rsid w:val="00430D40"/>
    <w:rsid w:val="004336E2"/>
    <w:rsid w:val="00436C84"/>
    <w:rsid w:val="004371CD"/>
    <w:rsid w:val="00437841"/>
    <w:rsid w:val="004415DB"/>
    <w:rsid w:val="00442AB0"/>
    <w:rsid w:val="004469A1"/>
    <w:rsid w:val="00447C70"/>
    <w:rsid w:val="0045174D"/>
    <w:rsid w:val="0045331D"/>
    <w:rsid w:val="004549BF"/>
    <w:rsid w:val="00454CE1"/>
    <w:rsid w:val="004559D8"/>
    <w:rsid w:val="004562A0"/>
    <w:rsid w:val="00456DBA"/>
    <w:rsid w:val="00463BAA"/>
    <w:rsid w:val="0046401D"/>
    <w:rsid w:val="00464D87"/>
    <w:rsid w:val="00465976"/>
    <w:rsid w:val="00465A5F"/>
    <w:rsid w:val="004672EC"/>
    <w:rsid w:val="00467714"/>
    <w:rsid w:val="0047037A"/>
    <w:rsid w:val="00470CAB"/>
    <w:rsid w:val="00473BC5"/>
    <w:rsid w:val="00473E34"/>
    <w:rsid w:val="00475418"/>
    <w:rsid w:val="00475C70"/>
    <w:rsid w:val="004771B0"/>
    <w:rsid w:val="0048344B"/>
    <w:rsid w:val="00484F20"/>
    <w:rsid w:val="00487AF8"/>
    <w:rsid w:val="00491042"/>
    <w:rsid w:val="0049424C"/>
    <w:rsid w:val="00496942"/>
    <w:rsid w:val="00497DA4"/>
    <w:rsid w:val="004A0E8E"/>
    <w:rsid w:val="004A1034"/>
    <w:rsid w:val="004A1C01"/>
    <w:rsid w:val="004A5BF3"/>
    <w:rsid w:val="004A675C"/>
    <w:rsid w:val="004A6E07"/>
    <w:rsid w:val="004B0CF5"/>
    <w:rsid w:val="004B1136"/>
    <w:rsid w:val="004B2DE6"/>
    <w:rsid w:val="004B71A4"/>
    <w:rsid w:val="004C1A15"/>
    <w:rsid w:val="004C6A37"/>
    <w:rsid w:val="004C6BDB"/>
    <w:rsid w:val="004D0393"/>
    <w:rsid w:val="004D1572"/>
    <w:rsid w:val="004D33F0"/>
    <w:rsid w:val="004D66FF"/>
    <w:rsid w:val="004D7FCA"/>
    <w:rsid w:val="004E1309"/>
    <w:rsid w:val="004E1501"/>
    <w:rsid w:val="004E226B"/>
    <w:rsid w:val="004E47A2"/>
    <w:rsid w:val="004E5D6E"/>
    <w:rsid w:val="004E7054"/>
    <w:rsid w:val="004F02FD"/>
    <w:rsid w:val="004F2C9C"/>
    <w:rsid w:val="004F6377"/>
    <w:rsid w:val="004F6D2D"/>
    <w:rsid w:val="004F74B7"/>
    <w:rsid w:val="004F75D9"/>
    <w:rsid w:val="00500D67"/>
    <w:rsid w:val="00503061"/>
    <w:rsid w:val="00503F11"/>
    <w:rsid w:val="005054EC"/>
    <w:rsid w:val="00505BFE"/>
    <w:rsid w:val="005062DD"/>
    <w:rsid w:val="00506C3E"/>
    <w:rsid w:val="00506DE7"/>
    <w:rsid w:val="00507EAD"/>
    <w:rsid w:val="005158F4"/>
    <w:rsid w:val="00522582"/>
    <w:rsid w:val="00523673"/>
    <w:rsid w:val="005239D2"/>
    <w:rsid w:val="00526FEB"/>
    <w:rsid w:val="005334D2"/>
    <w:rsid w:val="005368F5"/>
    <w:rsid w:val="00542076"/>
    <w:rsid w:val="005423C1"/>
    <w:rsid w:val="00542868"/>
    <w:rsid w:val="00542D26"/>
    <w:rsid w:val="00543C2E"/>
    <w:rsid w:val="005441F1"/>
    <w:rsid w:val="00544A23"/>
    <w:rsid w:val="00544BCC"/>
    <w:rsid w:val="005454F1"/>
    <w:rsid w:val="00546818"/>
    <w:rsid w:val="005471AE"/>
    <w:rsid w:val="005500D6"/>
    <w:rsid w:val="00552564"/>
    <w:rsid w:val="0055278B"/>
    <w:rsid w:val="00553209"/>
    <w:rsid w:val="00555BD5"/>
    <w:rsid w:val="005563AE"/>
    <w:rsid w:val="0055659E"/>
    <w:rsid w:val="00556F16"/>
    <w:rsid w:val="00560D3A"/>
    <w:rsid w:val="005617E5"/>
    <w:rsid w:val="00561E6C"/>
    <w:rsid w:val="0056424E"/>
    <w:rsid w:val="00564DE3"/>
    <w:rsid w:val="005660C3"/>
    <w:rsid w:val="0056679B"/>
    <w:rsid w:val="00570A75"/>
    <w:rsid w:val="00570CA6"/>
    <w:rsid w:val="00571424"/>
    <w:rsid w:val="005769E2"/>
    <w:rsid w:val="00577088"/>
    <w:rsid w:val="00580CBD"/>
    <w:rsid w:val="00582BDD"/>
    <w:rsid w:val="00582F7E"/>
    <w:rsid w:val="00583AFF"/>
    <w:rsid w:val="00584A4F"/>
    <w:rsid w:val="00584D96"/>
    <w:rsid w:val="0058588E"/>
    <w:rsid w:val="00590F6F"/>
    <w:rsid w:val="00591E6F"/>
    <w:rsid w:val="0059243E"/>
    <w:rsid w:val="00592B68"/>
    <w:rsid w:val="0059524E"/>
    <w:rsid w:val="005956F2"/>
    <w:rsid w:val="005963AE"/>
    <w:rsid w:val="005977EF"/>
    <w:rsid w:val="005A0002"/>
    <w:rsid w:val="005A4CA5"/>
    <w:rsid w:val="005A514E"/>
    <w:rsid w:val="005A563E"/>
    <w:rsid w:val="005A5D92"/>
    <w:rsid w:val="005B0339"/>
    <w:rsid w:val="005B1822"/>
    <w:rsid w:val="005B3A37"/>
    <w:rsid w:val="005B5AFA"/>
    <w:rsid w:val="005B62B0"/>
    <w:rsid w:val="005C1CA1"/>
    <w:rsid w:val="005C1ECA"/>
    <w:rsid w:val="005C3FEE"/>
    <w:rsid w:val="005C4617"/>
    <w:rsid w:val="005C4D49"/>
    <w:rsid w:val="005C607D"/>
    <w:rsid w:val="005C7908"/>
    <w:rsid w:val="005D0765"/>
    <w:rsid w:val="005D18A8"/>
    <w:rsid w:val="005D2155"/>
    <w:rsid w:val="005D2201"/>
    <w:rsid w:val="005D2F7A"/>
    <w:rsid w:val="005D330C"/>
    <w:rsid w:val="005D4334"/>
    <w:rsid w:val="005D44FD"/>
    <w:rsid w:val="005D6CAA"/>
    <w:rsid w:val="005D7D71"/>
    <w:rsid w:val="005E02D3"/>
    <w:rsid w:val="005E1FB0"/>
    <w:rsid w:val="005E3A70"/>
    <w:rsid w:val="005F023B"/>
    <w:rsid w:val="005F19A3"/>
    <w:rsid w:val="005F546A"/>
    <w:rsid w:val="005F69E3"/>
    <w:rsid w:val="005F75EC"/>
    <w:rsid w:val="00603C0A"/>
    <w:rsid w:val="006059B6"/>
    <w:rsid w:val="00605B5C"/>
    <w:rsid w:val="0060617F"/>
    <w:rsid w:val="006063A9"/>
    <w:rsid w:val="00607846"/>
    <w:rsid w:val="00611A12"/>
    <w:rsid w:val="006127D6"/>
    <w:rsid w:val="0061638B"/>
    <w:rsid w:val="006167D8"/>
    <w:rsid w:val="00616DBC"/>
    <w:rsid w:val="0061748A"/>
    <w:rsid w:val="006175EB"/>
    <w:rsid w:val="006205F8"/>
    <w:rsid w:val="00620BB2"/>
    <w:rsid w:val="00622540"/>
    <w:rsid w:val="00623375"/>
    <w:rsid w:val="006252DC"/>
    <w:rsid w:val="006255DF"/>
    <w:rsid w:val="00626DEB"/>
    <w:rsid w:val="0062713E"/>
    <w:rsid w:val="00630867"/>
    <w:rsid w:val="00632886"/>
    <w:rsid w:val="00633E49"/>
    <w:rsid w:val="00640178"/>
    <w:rsid w:val="00641E9F"/>
    <w:rsid w:val="00643381"/>
    <w:rsid w:val="0064368E"/>
    <w:rsid w:val="006437A7"/>
    <w:rsid w:val="0064782E"/>
    <w:rsid w:val="00652687"/>
    <w:rsid w:val="0065293E"/>
    <w:rsid w:val="00653B3E"/>
    <w:rsid w:val="00654D09"/>
    <w:rsid w:val="00655305"/>
    <w:rsid w:val="006612AF"/>
    <w:rsid w:val="00661EA7"/>
    <w:rsid w:val="00662A5E"/>
    <w:rsid w:val="00663EA9"/>
    <w:rsid w:val="00665756"/>
    <w:rsid w:val="00667AC8"/>
    <w:rsid w:val="00667D0B"/>
    <w:rsid w:val="00667D7C"/>
    <w:rsid w:val="00670102"/>
    <w:rsid w:val="006716E3"/>
    <w:rsid w:val="00671AE0"/>
    <w:rsid w:val="00675F7C"/>
    <w:rsid w:val="006773DA"/>
    <w:rsid w:val="00681391"/>
    <w:rsid w:val="00682C2F"/>
    <w:rsid w:val="00682DCC"/>
    <w:rsid w:val="00684F26"/>
    <w:rsid w:val="00686987"/>
    <w:rsid w:val="00687650"/>
    <w:rsid w:val="0069034A"/>
    <w:rsid w:val="0069040F"/>
    <w:rsid w:val="00690D26"/>
    <w:rsid w:val="00694358"/>
    <w:rsid w:val="00697257"/>
    <w:rsid w:val="006A0BF3"/>
    <w:rsid w:val="006A2833"/>
    <w:rsid w:val="006A31B4"/>
    <w:rsid w:val="006A3F25"/>
    <w:rsid w:val="006A4DEE"/>
    <w:rsid w:val="006A75B0"/>
    <w:rsid w:val="006B0FC5"/>
    <w:rsid w:val="006B1E14"/>
    <w:rsid w:val="006B39AD"/>
    <w:rsid w:val="006B4B6D"/>
    <w:rsid w:val="006B4E73"/>
    <w:rsid w:val="006C0F5D"/>
    <w:rsid w:val="006C183E"/>
    <w:rsid w:val="006C2BB3"/>
    <w:rsid w:val="006C3251"/>
    <w:rsid w:val="006C3FBE"/>
    <w:rsid w:val="006C5EA4"/>
    <w:rsid w:val="006C741D"/>
    <w:rsid w:val="006C79F6"/>
    <w:rsid w:val="006D166C"/>
    <w:rsid w:val="006D1E46"/>
    <w:rsid w:val="006D25E5"/>
    <w:rsid w:val="006D66C4"/>
    <w:rsid w:val="006D7BCA"/>
    <w:rsid w:val="006E0554"/>
    <w:rsid w:val="006E51BE"/>
    <w:rsid w:val="006E63D8"/>
    <w:rsid w:val="006E7CC8"/>
    <w:rsid w:val="006F0DAF"/>
    <w:rsid w:val="006F14E7"/>
    <w:rsid w:val="006F24EF"/>
    <w:rsid w:val="006F54E1"/>
    <w:rsid w:val="006F6242"/>
    <w:rsid w:val="006F74A9"/>
    <w:rsid w:val="0070272F"/>
    <w:rsid w:val="00705EE8"/>
    <w:rsid w:val="00706C08"/>
    <w:rsid w:val="00711973"/>
    <w:rsid w:val="0071313C"/>
    <w:rsid w:val="00713E45"/>
    <w:rsid w:val="007155F6"/>
    <w:rsid w:val="007159BE"/>
    <w:rsid w:val="00720F69"/>
    <w:rsid w:val="00721AE7"/>
    <w:rsid w:val="00724F17"/>
    <w:rsid w:val="0072612E"/>
    <w:rsid w:val="00730BC4"/>
    <w:rsid w:val="00732262"/>
    <w:rsid w:val="00732C39"/>
    <w:rsid w:val="00733A47"/>
    <w:rsid w:val="007360B6"/>
    <w:rsid w:val="0073642F"/>
    <w:rsid w:val="0073654F"/>
    <w:rsid w:val="007401E0"/>
    <w:rsid w:val="00740E69"/>
    <w:rsid w:val="007459B0"/>
    <w:rsid w:val="007459B8"/>
    <w:rsid w:val="00746D08"/>
    <w:rsid w:val="00747B1E"/>
    <w:rsid w:val="00750CEF"/>
    <w:rsid w:val="007544CD"/>
    <w:rsid w:val="0075501F"/>
    <w:rsid w:val="007619ED"/>
    <w:rsid w:val="007644D4"/>
    <w:rsid w:val="007660C2"/>
    <w:rsid w:val="00767532"/>
    <w:rsid w:val="00767B27"/>
    <w:rsid w:val="007714A0"/>
    <w:rsid w:val="0077292A"/>
    <w:rsid w:val="007734A7"/>
    <w:rsid w:val="00774EA6"/>
    <w:rsid w:val="007777D4"/>
    <w:rsid w:val="00780C15"/>
    <w:rsid w:val="00781AAD"/>
    <w:rsid w:val="00781B58"/>
    <w:rsid w:val="00781C7F"/>
    <w:rsid w:val="00781EF7"/>
    <w:rsid w:val="00782277"/>
    <w:rsid w:val="00784C34"/>
    <w:rsid w:val="007875DB"/>
    <w:rsid w:val="00787EC2"/>
    <w:rsid w:val="00791272"/>
    <w:rsid w:val="00794D26"/>
    <w:rsid w:val="00794F6E"/>
    <w:rsid w:val="0079543E"/>
    <w:rsid w:val="00796069"/>
    <w:rsid w:val="00796433"/>
    <w:rsid w:val="00796F17"/>
    <w:rsid w:val="007A165A"/>
    <w:rsid w:val="007A1B10"/>
    <w:rsid w:val="007A1E0A"/>
    <w:rsid w:val="007A2845"/>
    <w:rsid w:val="007A3506"/>
    <w:rsid w:val="007A36EA"/>
    <w:rsid w:val="007A398C"/>
    <w:rsid w:val="007A3CAE"/>
    <w:rsid w:val="007A4FE9"/>
    <w:rsid w:val="007A501E"/>
    <w:rsid w:val="007A64C7"/>
    <w:rsid w:val="007B01A5"/>
    <w:rsid w:val="007B43A5"/>
    <w:rsid w:val="007B5125"/>
    <w:rsid w:val="007B5B74"/>
    <w:rsid w:val="007C10E9"/>
    <w:rsid w:val="007C5972"/>
    <w:rsid w:val="007C608A"/>
    <w:rsid w:val="007C67B3"/>
    <w:rsid w:val="007D08D8"/>
    <w:rsid w:val="007D1927"/>
    <w:rsid w:val="007D53DD"/>
    <w:rsid w:val="007D6A35"/>
    <w:rsid w:val="007D6DC2"/>
    <w:rsid w:val="007E0D37"/>
    <w:rsid w:val="007E3C3A"/>
    <w:rsid w:val="007E4BE3"/>
    <w:rsid w:val="007E4FD8"/>
    <w:rsid w:val="007E5EDB"/>
    <w:rsid w:val="007E7B06"/>
    <w:rsid w:val="007F086D"/>
    <w:rsid w:val="007F240E"/>
    <w:rsid w:val="007F2B95"/>
    <w:rsid w:val="007F4237"/>
    <w:rsid w:val="007F4975"/>
    <w:rsid w:val="007F6E0A"/>
    <w:rsid w:val="007F73AE"/>
    <w:rsid w:val="007F7F04"/>
    <w:rsid w:val="00802C77"/>
    <w:rsid w:val="0080354F"/>
    <w:rsid w:val="00804C30"/>
    <w:rsid w:val="00805216"/>
    <w:rsid w:val="00805C9F"/>
    <w:rsid w:val="008068A8"/>
    <w:rsid w:val="00806E56"/>
    <w:rsid w:val="00811453"/>
    <w:rsid w:val="00812987"/>
    <w:rsid w:val="00812EDF"/>
    <w:rsid w:val="00815757"/>
    <w:rsid w:val="00816344"/>
    <w:rsid w:val="00816E81"/>
    <w:rsid w:val="00820FE4"/>
    <w:rsid w:val="0082207A"/>
    <w:rsid w:val="00822329"/>
    <w:rsid w:val="008231EF"/>
    <w:rsid w:val="00823FB3"/>
    <w:rsid w:val="00824312"/>
    <w:rsid w:val="00824B1C"/>
    <w:rsid w:val="00826679"/>
    <w:rsid w:val="00826951"/>
    <w:rsid w:val="00830115"/>
    <w:rsid w:val="00835BEA"/>
    <w:rsid w:val="0083756E"/>
    <w:rsid w:val="00837A45"/>
    <w:rsid w:val="0084141E"/>
    <w:rsid w:val="00841E7E"/>
    <w:rsid w:val="00843753"/>
    <w:rsid w:val="00844456"/>
    <w:rsid w:val="00844F1B"/>
    <w:rsid w:val="00847809"/>
    <w:rsid w:val="00850D82"/>
    <w:rsid w:val="00852542"/>
    <w:rsid w:val="00852879"/>
    <w:rsid w:val="00852E4B"/>
    <w:rsid w:val="00854607"/>
    <w:rsid w:val="00854C3D"/>
    <w:rsid w:val="00855E94"/>
    <w:rsid w:val="0086006F"/>
    <w:rsid w:val="00862E0E"/>
    <w:rsid w:val="0086314A"/>
    <w:rsid w:val="008644D6"/>
    <w:rsid w:val="00864B40"/>
    <w:rsid w:val="00864F9F"/>
    <w:rsid w:val="00865597"/>
    <w:rsid w:val="00865AB1"/>
    <w:rsid w:val="00865B7A"/>
    <w:rsid w:val="008674D8"/>
    <w:rsid w:val="00870A72"/>
    <w:rsid w:val="00874E3D"/>
    <w:rsid w:val="00874FEA"/>
    <w:rsid w:val="0087607B"/>
    <w:rsid w:val="00876CE2"/>
    <w:rsid w:val="00877140"/>
    <w:rsid w:val="00877E8C"/>
    <w:rsid w:val="00880E7D"/>
    <w:rsid w:val="00880E83"/>
    <w:rsid w:val="00881C9D"/>
    <w:rsid w:val="00883902"/>
    <w:rsid w:val="0088490F"/>
    <w:rsid w:val="00885373"/>
    <w:rsid w:val="00885AAB"/>
    <w:rsid w:val="0088700E"/>
    <w:rsid w:val="008905B4"/>
    <w:rsid w:val="00890725"/>
    <w:rsid w:val="00890CE2"/>
    <w:rsid w:val="008928F8"/>
    <w:rsid w:val="0089293D"/>
    <w:rsid w:val="008929CD"/>
    <w:rsid w:val="00893A7E"/>
    <w:rsid w:val="008941D6"/>
    <w:rsid w:val="00894F2C"/>
    <w:rsid w:val="008954D7"/>
    <w:rsid w:val="00895EFE"/>
    <w:rsid w:val="00896D1E"/>
    <w:rsid w:val="008A08A3"/>
    <w:rsid w:val="008A2E7F"/>
    <w:rsid w:val="008A33B2"/>
    <w:rsid w:val="008A3D61"/>
    <w:rsid w:val="008A4908"/>
    <w:rsid w:val="008A4F13"/>
    <w:rsid w:val="008A576D"/>
    <w:rsid w:val="008A5DA9"/>
    <w:rsid w:val="008A7B55"/>
    <w:rsid w:val="008B3DF7"/>
    <w:rsid w:val="008C0E85"/>
    <w:rsid w:val="008C1BC4"/>
    <w:rsid w:val="008C3674"/>
    <w:rsid w:val="008C3CBF"/>
    <w:rsid w:val="008C5946"/>
    <w:rsid w:val="008C71A0"/>
    <w:rsid w:val="008D01B4"/>
    <w:rsid w:val="008D08A5"/>
    <w:rsid w:val="008D2698"/>
    <w:rsid w:val="008D3B8C"/>
    <w:rsid w:val="008D4D25"/>
    <w:rsid w:val="008D600D"/>
    <w:rsid w:val="008D7294"/>
    <w:rsid w:val="008D74EE"/>
    <w:rsid w:val="008E00F1"/>
    <w:rsid w:val="008E115D"/>
    <w:rsid w:val="008E2D0D"/>
    <w:rsid w:val="008E7639"/>
    <w:rsid w:val="008E7B62"/>
    <w:rsid w:val="008F3414"/>
    <w:rsid w:val="008F4535"/>
    <w:rsid w:val="008F52EC"/>
    <w:rsid w:val="008F6AFA"/>
    <w:rsid w:val="008F6FAA"/>
    <w:rsid w:val="008F709D"/>
    <w:rsid w:val="008F756F"/>
    <w:rsid w:val="00902DB6"/>
    <w:rsid w:val="00904067"/>
    <w:rsid w:val="0090422E"/>
    <w:rsid w:val="0090462A"/>
    <w:rsid w:val="0090641A"/>
    <w:rsid w:val="00906993"/>
    <w:rsid w:val="00906A37"/>
    <w:rsid w:val="00906EB5"/>
    <w:rsid w:val="00907149"/>
    <w:rsid w:val="009076B5"/>
    <w:rsid w:val="009138C7"/>
    <w:rsid w:val="00913A33"/>
    <w:rsid w:val="009144CD"/>
    <w:rsid w:val="00914D27"/>
    <w:rsid w:val="00915769"/>
    <w:rsid w:val="009162A6"/>
    <w:rsid w:val="009166B4"/>
    <w:rsid w:val="0091727B"/>
    <w:rsid w:val="0092126B"/>
    <w:rsid w:val="0092148F"/>
    <w:rsid w:val="009217A5"/>
    <w:rsid w:val="009231A7"/>
    <w:rsid w:val="009245F3"/>
    <w:rsid w:val="00924EE9"/>
    <w:rsid w:val="0092695E"/>
    <w:rsid w:val="00926D58"/>
    <w:rsid w:val="0092776D"/>
    <w:rsid w:val="00930AB9"/>
    <w:rsid w:val="009320BA"/>
    <w:rsid w:val="009339F7"/>
    <w:rsid w:val="00933F10"/>
    <w:rsid w:val="00935F97"/>
    <w:rsid w:val="00936A1D"/>
    <w:rsid w:val="00940436"/>
    <w:rsid w:val="00942D91"/>
    <w:rsid w:val="00945BBA"/>
    <w:rsid w:val="00947DA1"/>
    <w:rsid w:val="00950773"/>
    <w:rsid w:val="00950B3E"/>
    <w:rsid w:val="00953410"/>
    <w:rsid w:val="00953480"/>
    <w:rsid w:val="00954863"/>
    <w:rsid w:val="009569CD"/>
    <w:rsid w:val="00956EEA"/>
    <w:rsid w:val="0095756A"/>
    <w:rsid w:val="00960E32"/>
    <w:rsid w:val="009667C9"/>
    <w:rsid w:val="00967BFC"/>
    <w:rsid w:val="00970078"/>
    <w:rsid w:val="009700A7"/>
    <w:rsid w:val="00974DD7"/>
    <w:rsid w:val="009805D1"/>
    <w:rsid w:val="00982138"/>
    <w:rsid w:val="00983E86"/>
    <w:rsid w:val="0099033F"/>
    <w:rsid w:val="0099081F"/>
    <w:rsid w:val="00991698"/>
    <w:rsid w:val="00991E5D"/>
    <w:rsid w:val="009929CA"/>
    <w:rsid w:val="00993785"/>
    <w:rsid w:val="00994C19"/>
    <w:rsid w:val="00995634"/>
    <w:rsid w:val="009974BA"/>
    <w:rsid w:val="009A4D34"/>
    <w:rsid w:val="009A5718"/>
    <w:rsid w:val="009A740F"/>
    <w:rsid w:val="009B0703"/>
    <w:rsid w:val="009B0A32"/>
    <w:rsid w:val="009B0F08"/>
    <w:rsid w:val="009B245B"/>
    <w:rsid w:val="009B4CDD"/>
    <w:rsid w:val="009B5CF1"/>
    <w:rsid w:val="009B6111"/>
    <w:rsid w:val="009B7837"/>
    <w:rsid w:val="009B7B47"/>
    <w:rsid w:val="009C2F89"/>
    <w:rsid w:val="009C3D36"/>
    <w:rsid w:val="009C3E5B"/>
    <w:rsid w:val="009C4680"/>
    <w:rsid w:val="009C4BDF"/>
    <w:rsid w:val="009C4EC4"/>
    <w:rsid w:val="009C5496"/>
    <w:rsid w:val="009C5F59"/>
    <w:rsid w:val="009C5FD9"/>
    <w:rsid w:val="009C6BBF"/>
    <w:rsid w:val="009C7A0F"/>
    <w:rsid w:val="009D00E5"/>
    <w:rsid w:val="009D161C"/>
    <w:rsid w:val="009D21E7"/>
    <w:rsid w:val="009D223E"/>
    <w:rsid w:val="009D2969"/>
    <w:rsid w:val="009D361B"/>
    <w:rsid w:val="009D4489"/>
    <w:rsid w:val="009D4F34"/>
    <w:rsid w:val="009D6DFF"/>
    <w:rsid w:val="009E1188"/>
    <w:rsid w:val="009E1A79"/>
    <w:rsid w:val="009E43F2"/>
    <w:rsid w:val="009E55D4"/>
    <w:rsid w:val="009F1145"/>
    <w:rsid w:val="009F1C30"/>
    <w:rsid w:val="009F284E"/>
    <w:rsid w:val="009F452B"/>
    <w:rsid w:val="009F61DD"/>
    <w:rsid w:val="009F6631"/>
    <w:rsid w:val="009F7BAB"/>
    <w:rsid w:val="00A02E3B"/>
    <w:rsid w:val="00A05452"/>
    <w:rsid w:val="00A05A03"/>
    <w:rsid w:val="00A06174"/>
    <w:rsid w:val="00A07264"/>
    <w:rsid w:val="00A075BA"/>
    <w:rsid w:val="00A0765A"/>
    <w:rsid w:val="00A077FA"/>
    <w:rsid w:val="00A12BF8"/>
    <w:rsid w:val="00A14A3D"/>
    <w:rsid w:val="00A16372"/>
    <w:rsid w:val="00A1717E"/>
    <w:rsid w:val="00A17371"/>
    <w:rsid w:val="00A2087D"/>
    <w:rsid w:val="00A223CA"/>
    <w:rsid w:val="00A22C55"/>
    <w:rsid w:val="00A3077B"/>
    <w:rsid w:val="00A311CD"/>
    <w:rsid w:val="00A345C6"/>
    <w:rsid w:val="00A36D5A"/>
    <w:rsid w:val="00A41E0B"/>
    <w:rsid w:val="00A43BD5"/>
    <w:rsid w:val="00A45DDB"/>
    <w:rsid w:val="00A46F0E"/>
    <w:rsid w:val="00A518E4"/>
    <w:rsid w:val="00A51D7B"/>
    <w:rsid w:val="00A527F3"/>
    <w:rsid w:val="00A5404D"/>
    <w:rsid w:val="00A54840"/>
    <w:rsid w:val="00A558E7"/>
    <w:rsid w:val="00A566A2"/>
    <w:rsid w:val="00A626F7"/>
    <w:rsid w:val="00A62B7A"/>
    <w:rsid w:val="00A640D7"/>
    <w:rsid w:val="00A65D10"/>
    <w:rsid w:val="00A66E68"/>
    <w:rsid w:val="00A67664"/>
    <w:rsid w:val="00A700F2"/>
    <w:rsid w:val="00A70A8F"/>
    <w:rsid w:val="00A715B4"/>
    <w:rsid w:val="00A72A00"/>
    <w:rsid w:val="00A778E9"/>
    <w:rsid w:val="00A8224C"/>
    <w:rsid w:val="00A852F0"/>
    <w:rsid w:val="00A855C0"/>
    <w:rsid w:val="00A85799"/>
    <w:rsid w:val="00A85F0A"/>
    <w:rsid w:val="00A91B1F"/>
    <w:rsid w:val="00A9202E"/>
    <w:rsid w:val="00A95179"/>
    <w:rsid w:val="00A96952"/>
    <w:rsid w:val="00A978E5"/>
    <w:rsid w:val="00AA0A7B"/>
    <w:rsid w:val="00AA2684"/>
    <w:rsid w:val="00AA31D2"/>
    <w:rsid w:val="00AA3597"/>
    <w:rsid w:val="00AA75F1"/>
    <w:rsid w:val="00AB1BCB"/>
    <w:rsid w:val="00AB2287"/>
    <w:rsid w:val="00AB3442"/>
    <w:rsid w:val="00AB598C"/>
    <w:rsid w:val="00AB5CDF"/>
    <w:rsid w:val="00AB6FE5"/>
    <w:rsid w:val="00AB72F1"/>
    <w:rsid w:val="00AC1906"/>
    <w:rsid w:val="00AC1C39"/>
    <w:rsid w:val="00AC33BA"/>
    <w:rsid w:val="00AC5B39"/>
    <w:rsid w:val="00AC7367"/>
    <w:rsid w:val="00AD0E83"/>
    <w:rsid w:val="00AD5314"/>
    <w:rsid w:val="00AD6A14"/>
    <w:rsid w:val="00AD6EEB"/>
    <w:rsid w:val="00AD783D"/>
    <w:rsid w:val="00AE0463"/>
    <w:rsid w:val="00AF10EE"/>
    <w:rsid w:val="00AF40E0"/>
    <w:rsid w:val="00AF7196"/>
    <w:rsid w:val="00B0229B"/>
    <w:rsid w:val="00B05083"/>
    <w:rsid w:val="00B07E13"/>
    <w:rsid w:val="00B1111F"/>
    <w:rsid w:val="00B115C1"/>
    <w:rsid w:val="00B12401"/>
    <w:rsid w:val="00B1364F"/>
    <w:rsid w:val="00B142C4"/>
    <w:rsid w:val="00B16835"/>
    <w:rsid w:val="00B169CA"/>
    <w:rsid w:val="00B16FCC"/>
    <w:rsid w:val="00B178B1"/>
    <w:rsid w:val="00B20A7E"/>
    <w:rsid w:val="00B2133E"/>
    <w:rsid w:val="00B21396"/>
    <w:rsid w:val="00B21B50"/>
    <w:rsid w:val="00B220EF"/>
    <w:rsid w:val="00B23414"/>
    <w:rsid w:val="00B247B4"/>
    <w:rsid w:val="00B252A0"/>
    <w:rsid w:val="00B257A8"/>
    <w:rsid w:val="00B2629D"/>
    <w:rsid w:val="00B30FF8"/>
    <w:rsid w:val="00B334FF"/>
    <w:rsid w:val="00B33910"/>
    <w:rsid w:val="00B35A2F"/>
    <w:rsid w:val="00B360FD"/>
    <w:rsid w:val="00B36C6F"/>
    <w:rsid w:val="00B3784F"/>
    <w:rsid w:val="00B40764"/>
    <w:rsid w:val="00B40CBE"/>
    <w:rsid w:val="00B40ED4"/>
    <w:rsid w:val="00B43A0D"/>
    <w:rsid w:val="00B50F26"/>
    <w:rsid w:val="00B5152C"/>
    <w:rsid w:val="00B520DA"/>
    <w:rsid w:val="00B52369"/>
    <w:rsid w:val="00B528C6"/>
    <w:rsid w:val="00B536EA"/>
    <w:rsid w:val="00B55B78"/>
    <w:rsid w:val="00B57C70"/>
    <w:rsid w:val="00B60D6B"/>
    <w:rsid w:val="00B61481"/>
    <w:rsid w:val="00B61702"/>
    <w:rsid w:val="00B6504D"/>
    <w:rsid w:val="00B65A81"/>
    <w:rsid w:val="00B71C89"/>
    <w:rsid w:val="00B720A8"/>
    <w:rsid w:val="00B72E65"/>
    <w:rsid w:val="00B737D2"/>
    <w:rsid w:val="00B739D6"/>
    <w:rsid w:val="00B742FD"/>
    <w:rsid w:val="00B753EA"/>
    <w:rsid w:val="00B754CF"/>
    <w:rsid w:val="00B756FD"/>
    <w:rsid w:val="00B77327"/>
    <w:rsid w:val="00B77987"/>
    <w:rsid w:val="00B77EA7"/>
    <w:rsid w:val="00B8255D"/>
    <w:rsid w:val="00B8341C"/>
    <w:rsid w:val="00B839CA"/>
    <w:rsid w:val="00B83E7F"/>
    <w:rsid w:val="00B86A4F"/>
    <w:rsid w:val="00B86E80"/>
    <w:rsid w:val="00B87005"/>
    <w:rsid w:val="00B87CB4"/>
    <w:rsid w:val="00B9023F"/>
    <w:rsid w:val="00B906CA"/>
    <w:rsid w:val="00B91E0A"/>
    <w:rsid w:val="00B92B84"/>
    <w:rsid w:val="00B95FB9"/>
    <w:rsid w:val="00BA13A2"/>
    <w:rsid w:val="00BA1CE4"/>
    <w:rsid w:val="00BA33C3"/>
    <w:rsid w:val="00BA46E2"/>
    <w:rsid w:val="00BA5A2B"/>
    <w:rsid w:val="00BA5B71"/>
    <w:rsid w:val="00BA5FB9"/>
    <w:rsid w:val="00BB01CB"/>
    <w:rsid w:val="00BB05BF"/>
    <w:rsid w:val="00BB0B80"/>
    <w:rsid w:val="00BB102E"/>
    <w:rsid w:val="00BB1C8C"/>
    <w:rsid w:val="00BB378D"/>
    <w:rsid w:val="00BB51E4"/>
    <w:rsid w:val="00BB7E48"/>
    <w:rsid w:val="00BC0741"/>
    <w:rsid w:val="00BC4EC6"/>
    <w:rsid w:val="00BC5EBB"/>
    <w:rsid w:val="00BC70EE"/>
    <w:rsid w:val="00BC72B5"/>
    <w:rsid w:val="00BC751F"/>
    <w:rsid w:val="00BD09F5"/>
    <w:rsid w:val="00BD4255"/>
    <w:rsid w:val="00BD51CA"/>
    <w:rsid w:val="00BE0820"/>
    <w:rsid w:val="00BE0DB1"/>
    <w:rsid w:val="00BE1199"/>
    <w:rsid w:val="00BE782D"/>
    <w:rsid w:val="00BF0AC2"/>
    <w:rsid w:val="00BF2050"/>
    <w:rsid w:val="00BF4BB4"/>
    <w:rsid w:val="00BF5010"/>
    <w:rsid w:val="00BF5019"/>
    <w:rsid w:val="00BF6698"/>
    <w:rsid w:val="00BF7770"/>
    <w:rsid w:val="00C00DF1"/>
    <w:rsid w:val="00C03B2A"/>
    <w:rsid w:val="00C03DF6"/>
    <w:rsid w:val="00C07D36"/>
    <w:rsid w:val="00C1445E"/>
    <w:rsid w:val="00C14870"/>
    <w:rsid w:val="00C1570F"/>
    <w:rsid w:val="00C15E29"/>
    <w:rsid w:val="00C17458"/>
    <w:rsid w:val="00C221F7"/>
    <w:rsid w:val="00C22252"/>
    <w:rsid w:val="00C24B7B"/>
    <w:rsid w:val="00C24EDD"/>
    <w:rsid w:val="00C30606"/>
    <w:rsid w:val="00C31ABB"/>
    <w:rsid w:val="00C3345A"/>
    <w:rsid w:val="00C36D41"/>
    <w:rsid w:val="00C36FAE"/>
    <w:rsid w:val="00C3766C"/>
    <w:rsid w:val="00C37DE0"/>
    <w:rsid w:val="00C40A24"/>
    <w:rsid w:val="00C4230C"/>
    <w:rsid w:val="00C47850"/>
    <w:rsid w:val="00C47BB9"/>
    <w:rsid w:val="00C54C62"/>
    <w:rsid w:val="00C57D2F"/>
    <w:rsid w:val="00C57F46"/>
    <w:rsid w:val="00C60AF8"/>
    <w:rsid w:val="00C615D2"/>
    <w:rsid w:val="00C620F6"/>
    <w:rsid w:val="00C64217"/>
    <w:rsid w:val="00C6662C"/>
    <w:rsid w:val="00C669A9"/>
    <w:rsid w:val="00C67FFC"/>
    <w:rsid w:val="00C7321F"/>
    <w:rsid w:val="00C732CB"/>
    <w:rsid w:val="00C73CA5"/>
    <w:rsid w:val="00C73F71"/>
    <w:rsid w:val="00C74057"/>
    <w:rsid w:val="00C76830"/>
    <w:rsid w:val="00C774BC"/>
    <w:rsid w:val="00C77D9D"/>
    <w:rsid w:val="00C77EFB"/>
    <w:rsid w:val="00C8403A"/>
    <w:rsid w:val="00C84926"/>
    <w:rsid w:val="00C85F76"/>
    <w:rsid w:val="00C87643"/>
    <w:rsid w:val="00C87F84"/>
    <w:rsid w:val="00C90269"/>
    <w:rsid w:val="00C9064A"/>
    <w:rsid w:val="00C92168"/>
    <w:rsid w:val="00C927B3"/>
    <w:rsid w:val="00C92AD3"/>
    <w:rsid w:val="00C92D1B"/>
    <w:rsid w:val="00C9490A"/>
    <w:rsid w:val="00C95599"/>
    <w:rsid w:val="00C96910"/>
    <w:rsid w:val="00C9749E"/>
    <w:rsid w:val="00CA0318"/>
    <w:rsid w:val="00CA056C"/>
    <w:rsid w:val="00CA1312"/>
    <w:rsid w:val="00CA17D2"/>
    <w:rsid w:val="00CA2408"/>
    <w:rsid w:val="00CA2EB3"/>
    <w:rsid w:val="00CA3521"/>
    <w:rsid w:val="00CA5212"/>
    <w:rsid w:val="00CA5AE8"/>
    <w:rsid w:val="00CA5E7D"/>
    <w:rsid w:val="00CA5FC9"/>
    <w:rsid w:val="00CA6B7A"/>
    <w:rsid w:val="00CA7406"/>
    <w:rsid w:val="00CA7EBF"/>
    <w:rsid w:val="00CB0434"/>
    <w:rsid w:val="00CB5ECC"/>
    <w:rsid w:val="00CC0FF7"/>
    <w:rsid w:val="00CC285F"/>
    <w:rsid w:val="00CC4978"/>
    <w:rsid w:val="00CC5192"/>
    <w:rsid w:val="00CC56B4"/>
    <w:rsid w:val="00CC5862"/>
    <w:rsid w:val="00CC76A3"/>
    <w:rsid w:val="00CD01C8"/>
    <w:rsid w:val="00CD1DDD"/>
    <w:rsid w:val="00CD25BF"/>
    <w:rsid w:val="00CD2A09"/>
    <w:rsid w:val="00CD2E7F"/>
    <w:rsid w:val="00CD7437"/>
    <w:rsid w:val="00CD79EF"/>
    <w:rsid w:val="00CE08F5"/>
    <w:rsid w:val="00CE5063"/>
    <w:rsid w:val="00CF4F20"/>
    <w:rsid w:val="00CF63BA"/>
    <w:rsid w:val="00D0264F"/>
    <w:rsid w:val="00D02E23"/>
    <w:rsid w:val="00D04508"/>
    <w:rsid w:val="00D06F13"/>
    <w:rsid w:val="00D13CAD"/>
    <w:rsid w:val="00D13E1C"/>
    <w:rsid w:val="00D15645"/>
    <w:rsid w:val="00D2052F"/>
    <w:rsid w:val="00D21E30"/>
    <w:rsid w:val="00D221BD"/>
    <w:rsid w:val="00D24FFF"/>
    <w:rsid w:val="00D26D52"/>
    <w:rsid w:val="00D33EE8"/>
    <w:rsid w:val="00D33F21"/>
    <w:rsid w:val="00D356B5"/>
    <w:rsid w:val="00D35B9A"/>
    <w:rsid w:val="00D376F4"/>
    <w:rsid w:val="00D405E4"/>
    <w:rsid w:val="00D41C2A"/>
    <w:rsid w:val="00D438B9"/>
    <w:rsid w:val="00D43A03"/>
    <w:rsid w:val="00D44FB5"/>
    <w:rsid w:val="00D53A3B"/>
    <w:rsid w:val="00D5420E"/>
    <w:rsid w:val="00D57338"/>
    <w:rsid w:val="00D62D72"/>
    <w:rsid w:val="00D655E6"/>
    <w:rsid w:val="00D65D47"/>
    <w:rsid w:val="00D678DB"/>
    <w:rsid w:val="00D7173F"/>
    <w:rsid w:val="00D717D6"/>
    <w:rsid w:val="00D72F60"/>
    <w:rsid w:val="00D7508A"/>
    <w:rsid w:val="00D775ED"/>
    <w:rsid w:val="00D81206"/>
    <w:rsid w:val="00D81893"/>
    <w:rsid w:val="00D85C10"/>
    <w:rsid w:val="00D86186"/>
    <w:rsid w:val="00D86823"/>
    <w:rsid w:val="00D9062E"/>
    <w:rsid w:val="00D90E18"/>
    <w:rsid w:val="00D9399B"/>
    <w:rsid w:val="00D93EC0"/>
    <w:rsid w:val="00D94518"/>
    <w:rsid w:val="00D94AB6"/>
    <w:rsid w:val="00D94AD0"/>
    <w:rsid w:val="00D9514B"/>
    <w:rsid w:val="00D96779"/>
    <w:rsid w:val="00D970D4"/>
    <w:rsid w:val="00D97E81"/>
    <w:rsid w:val="00DA105D"/>
    <w:rsid w:val="00DA2A79"/>
    <w:rsid w:val="00DA3662"/>
    <w:rsid w:val="00DA3AD8"/>
    <w:rsid w:val="00DA43DF"/>
    <w:rsid w:val="00DA4FFD"/>
    <w:rsid w:val="00DA5D88"/>
    <w:rsid w:val="00DA60AF"/>
    <w:rsid w:val="00DA7513"/>
    <w:rsid w:val="00DA7533"/>
    <w:rsid w:val="00DA7724"/>
    <w:rsid w:val="00DA795A"/>
    <w:rsid w:val="00DB193E"/>
    <w:rsid w:val="00DB2104"/>
    <w:rsid w:val="00DB2D32"/>
    <w:rsid w:val="00DB2DEC"/>
    <w:rsid w:val="00DB350B"/>
    <w:rsid w:val="00DB3AC9"/>
    <w:rsid w:val="00DB4ADA"/>
    <w:rsid w:val="00DB4C61"/>
    <w:rsid w:val="00DB6513"/>
    <w:rsid w:val="00DB6882"/>
    <w:rsid w:val="00DC0594"/>
    <w:rsid w:val="00DC1968"/>
    <w:rsid w:val="00DC22A2"/>
    <w:rsid w:val="00DC55E2"/>
    <w:rsid w:val="00DC73F6"/>
    <w:rsid w:val="00DC7561"/>
    <w:rsid w:val="00DD027C"/>
    <w:rsid w:val="00DD0647"/>
    <w:rsid w:val="00DD0E0F"/>
    <w:rsid w:val="00DD0FDC"/>
    <w:rsid w:val="00DD1EE9"/>
    <w:rsid w:val="00DD2867"/>
    <w:rsid w:val="00DD2B0C"/>
    <w:rsid w:val="00DD308F"/>
    <w:rsid w:val="00DD4CF0"/>
    <w:rsid w:val="00DE0E80"/>
    <w:rsid w:val="00DE13CF"/>
    <w:rsid w:val="00DE6300"/>
    <w:rsid w:val="00DF1608"/>
    <w:rsid w:val="00DF1976"/>
    <w:rsid w:val="00DF4AC5"/>
    <w:rsid w:val="00DF7FEE"/>
    <w:rsid w:val="00E0130D"/>
    <w:rsid w:val="00E03950"/>
    <w:rsid w:val="00E04D60"/>
    <w:rsid w:val="00E0680C"/>
    <w:rsid w:val="00E104BE"/>
    <w:rsid w:val="00E10849"/>
    <w:rsid w:val="00E111CC"/>
    <w:rsid w:val="00E127BB"/>
    <w:rsid w:val="00E128E4"/>
    <w:rsid w:val="00E14027"/>
    <w:rsid w:val="00E1525D"/>
    <w:rsid w:val="00E15656"/>
    <w:rsid w:val="00E2187D"/>
    <w:rsid w:val="00E21B57"/>
    <w:rsid w:val="00E21F28"/>
    <w:rsid w:val="00E2214C"/>
    <w:rsid w:val="00E22DF3"/>
    <w:rsid w:val="00E23B19"/>
    <w:rsid w:val="00E25AB4"/>
    <w:rsid w:val="00E26448"/>
    <w:rsid w:val="00E264C7"/>
    <w:rsid w:val="00E27D7D"/>
    <w:rsid w:val="00E319EA"/>
    <w:rsid w:val="00E324AE"/>
    <w:rsid w:val="00E32585"/>
    <w:rsid w:val="00E33E0B"/>
    <w:rsid w:val="00E350FB"/>
    <w:rsid w:val="00E35547"/>
    <w:rsid w:val="00E37F9E"/>
    <w:rsid w:val="00E40B42"/>
    <w:rsid w:val="00E46932"/>
    <w:rsid w:val="00E46F4A"/>
    <w:rsid w:val="00E47676"/>
    <w:rsid w:val="00E51CCA"/>
    <w:rsid w:val="00E51E41"/>
    <w:rsid w:val="00E556D4"/>
    <w:rsid w:val="00E57A7B"/>
    <w:rsid w:val="00E61E14"/>
    <w:rsid w:val="00E63933"/>
    <w:rsid w:val="00E64200"/>
    <w:rsid w:val="00E655CC"/>
    <w:rsid w:val="00E663F4"/>
    <w:rsid w:val="00E6727D"/>
    <w:rsid w:val="00E71A67"/>
    <w:rsid w:val="00E76AA6"/>
    <w:rsid w:val="00E77942"/>
    <w:rsid w:val="00E8033A"/>
    <w:rsid w:val="00E8155C"/>
    <w:rsid w:val="00E81CBE"/>
    <w:rsid w:val="00E83D6F"/>
    <w:rsid w:val="00E8413C"/>
    <w:rsid w:val="00E84F99"/>
    <w:rsid w:val="00E86C6E"/>
    <w:rsid w:val="00E90C05"/>
    <w:rsid w:val="00E912A0"/>
    <w:rsid w:val="00E94617"/>
    <w:rsid w:val="00E965DD"/>
    <w:rsid w:val="00E97680"/>
    <w:rsid w:val="00EA073B"/>
    <w:rsid w:val="00EA1E84"/>
    <w:rsid w:val="00EA2B0A"/>
    <w:rsid w:val="00EA32F6"/>
    <w:rsid w:val="00EA7C14"/>
    <w:rsid w:val="00EB28CA"/>
    <w:rsid w:val="00EB3EE8"/>
    <w:rsid w:val="00EB44E1"/>
    <w:rsid w:val="00EC0693"/>
    <w:rsid w:val="00EC077A"/>
    <w:rsid w:val="00EC1FA6"/>
    <w:rsid w:val="00EC678D"/>
    <w:rsid w:val="00EC71DA"/>
    <w:rsid w:val="00ED01A9"/>
    <w:rsid w:val="00ED11D2"/>
    <w:rsid w:val="00ED2590"/>
    <w:rsid w:val="00ED3051"/>
    <w:rsid w:val="00ED328E"/>
    <w:rsid w:val="00ED3C7F"/>
    <w:rsid w:val="00ED4492"/>
    <w:rsid w:val="00ED6B2C"/>
    <w:rsid w:val="00EE017D"/>
    <w:rsid w:val="00EE593E"/>
    <w:rsid w:val="00EE64BC"/>
    <w:rsid w:val="00EE6947"/>
    <w:rsid w:val="00EF0BAB"/>
    <w:rsid w:val="00EF1E2E"/>
    <w:rsid w:val="00EF222A"/>
    <w:rsid w:val="00EF2670"/>
    <w:rsid w:val="00EF666B"/>
    <w:rsid w:val="00F00998"/>
    <w:rsid w:val="00F00BE8"/>
    <w:rsid w:val="00F01A02"/>
    <w:rsid w:val="00F045D5"/>
    <w:rsid w:val="00F053FF"/>
    <w:rsid w:val="00F05B43"/>
    <w:rsid w:val="00F073BA"/>
    <w:rsid w:val="00F137F8"/>
    <w:rsid w:val="00F153AE"/>
    <w:rsid w:val="00F22911"/>
    <w:rsid w:val="00F254B1"/>
    <w:rsid w:val="00F2637A"/>
    <w:rsid w:val="00F32F4C"/>
    <w:rsid w:val="00F34939"/>
    <w:rsid w:val="00F37487"/>
    <w:rsid w:val="00F37BFD"/>
    <w:rsid w:val="00F40CC6"/>
    <w:rsid w:val="00F430C7"/>
    <w:rsid w:val="00F44D73"/>
    <w:rsid w:val="00F456CF"/>
    <w:rsid w:val="00F474C6"/>
    <w:rsid w:val="00F47F32"/>
    <w:rsid w:val="00F5099D"/>
    <w:rsid w:val="00F50C03"/>
    <w:rsid w:val="00F51210"/>
    <w:rsid w:val="00F51C39"/>
    <w:rsid w:val="00F526EB"/>
    <w:rsid w:val="00F52827"/>
    <w:rsid w:val="00F545D8"/>
    <w:rsid w:val="00F559B5"/>
    <w:rsid w:val="00F56C88"/>
    <w:rsid w:val="00F62C1F"/>
    <w:rsid w:val="00F638AE"/>
    <w:rsid w:val="00F640B8"/>
    <w:rsid w:val="00F64D55"/>
    <w:rsid w:val="00F66217"/>
    <w:rsid w:val="00F6669D"/>
    <w:rsid w:val="00F7000C"/>
    <w:rsid w:val="00F70E03"/>
    <w:rsid w:val="00F7210F"/>
    <w:rsid w:val="00F72582"/>
    <w:rsid w:val="00F729E3"/>
    <w:rsid w:val="00F731C9"/>
    <w:rsid w:val="00F734D2"/>
    <w:rsid w:val="00F74A0E"/>
    <w:rsid w:val="00F753BE"/>
    <w:rsid w:val="00F76AF5"/>
    <w:rsid w:val="00F76C8B"/>
    <w:rsid w:val="00F7783E"/>
    <w:rsid w:val="00F77E09"/>
    <w:rsid w:val="00F80338"/>
    <w:rsid w:val="00F80465"/>
    <w:rsid w:val="00F813A5"/>
    <w:rsid w:val="00F81A15"/>
    <w:rsid w:val="00F81E97"/>
    <w:rsid w:val="00F8299E"/>
    <w:rsid w:val="00F874B6"/>
    <w:rsid w:val="00F9122D"/>
    <w:rsid w:val="00F92BB5"/>
    <w:rsid w:val="00F954B2"/>
    <w:rsid w:val="00F96985"/>
    <w:rsid w:val="00F97342"/>
    <w:rsid w:val="00FA0AF3"/>
    <w:rsid w:val="00FA13FD"/>
    <w:rsid w:val="00FA2F05"/>
    <w:rsid w:val="00FA4034"/>
    <w:rsid w:val="00FA4D01"/>
    <w:rsid w:val="00FB0D2A"/>
    <w:rsid w:val="00FB16E1"/>
    <w:rsid w:val="00FB20C6"/>
    <w:rsid w:val="00FB3E02"/>
    <w:rsid w:val="00FB4259"/>
    <w:rsid w:val="00FB56B7"/>
    <w:rsid w:val="00FC292D"/>
    <w:rsid w:val="00FC2C87"/>
    <w:rsid w:val="00FC3499"/>
    <w:rsid w:val="00FC481A"/>
    <w:rsid w:val="00FD0B72"/>
    <w:rsid w:val="00FD13A2"/>
    <w:rsid w:val="00FD3D8B"/>
    <w:rsid w:val="00FD501D"/>
    <w:rsid w:val="00FD76B5"/>
    <w:rsid w:val="00FE0DD3"/>
    <w:rsid w:val="00FE1B6D"/>
    <w:rsid w:val="00FE1F10"/>
    <w:rsid w:val="00FE2063"/>
    <w:rsid w:val="00FE47FE"/>
    <w:rsid w:val="00FE4A02"/>
    <w:rsid w:val="00FE5BC1"/>
    <w:rsid w:val="00FE617A"/>
    <w:rsid w:val="00FE695C"/>
    <w:rsid w:val="00FE6C3A"/>
    <w:rsid w:val="00FF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A8F2D"/>
  <w15:chartTrackingRefBased/>
  <w15:docId w15:val="{39C06F7B-0C74-4CEF-944B-9087174E7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0998"/>
    <w:pPr>
      <w:suppressAutoHyphens/>
      <w:spacing w:after="120"/>
      <w:jc w:val="both"/>
    </w:pPr>
    <w:rPr>
      <w:rFonts w:ascii="Heuristica" w:hAnsi="Heuristica"/>
      <w:sz w:val="22"/>
      <w:szCs w:val="24"/>
      <w:lang w:eastAsia="ar-SA"/>
    </w:rPr>
  </w:style>
  <w:style w:type="paragraph" w:styleId="Nadpis1">
    <w:name w:val="heading 1"/>
    <w:basedOn w:val="Normln"/>
    <w:next w:val="PFI-odstavec"/>
    <w:qFormat/>
    <w:rsid w:val="00EF222A"/>
    <w:pPr>
      <w:keepNext/>
      <w:numPr>
        <w:numId w:val="2"/>
      </w:numPr>
      <w:pBdr>
        <w:bottom w:val="single" w:sz="4" w:space="1" w:color="auto"/>
      </w:pBdr>
      <w:shd w:val="clear" w:color="auto" w:fill="E0E0E0"/>
      <w:spacing w:before="240" w:after="60"/>
      <w:jc w:val="left"/>
      <w:outlineLvl w:val="0"/>
    </w:pPr>
    <w:rPr>
      <w:rFonts w:cs="Arial"/>
      <w:b/>
      <w:bCs/>
      <w:kern w:val="36"/>
      <w:sz w:val="36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PFI-odstavec"/>
    <w:link w:val="Nadpis2Char"/>
    <w:uiPriority w:val="99"/>
    <w:qFormat/>
    <w:rsid w:val="00EF222A"/>
    <w:pPr>
      <w:keepNext/>
      <w:numPr>
        <w:ilvl w:val="1"/>
        <w:numId w:val="2"/>
      </w:numPr>
      <w:spacing w:before="240" w:after="60"/>
      <w:outlineLvl w:val="1"/>
    </w:pPr>
    <w:rPr>
      <w:b/>
      <w:bCs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PFI-odstavec"/>
    <w:link w:val="Nadpis3Char"/>
    <w:uiPriority w:val="99"/>
    <w:qFormat/>
    <w:rsid w:val="00EF222A"/>
    <w:pPr>
      <w:keepNext/>
      <w:numPr>
        <w:ilvl w:val="2"/>
        <w:numId w:val="2"/>
      </w:numPr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FI-odstavec">
    <w:name w:val="PFI-odstavec"/>
    <w:basedOn w:val="Normln"/>
    <w:link w:val="PFI-odstavecChar"/>
    <w:uiPriority w:val="99"/>
    <w:rsid w:val="00EF222A"/>
    <w:pPr>
      <w:numPr>
        <w:ilvl w:val="3"/>
        <w:numId w:val="2"/>
      </w:numPr>
    </w:pPr>
  </w:style>
  <w:style w:type="character" w:customStyle="1" w:styleId="PFI-odstavecChar">
    <w:name w:val="PFI-odstavec Char"/>
    <w:link w:val="PFI-odstavec"/>
    <w:uiPriority w:val="99"/>
    <w:rsid w:val="00EF222A"/>
    <w:rPr>
      <w:rFonts w:ascii="Heuristica" w:hAnsi="Heuristica"/>
      <w:sz w:val="22"/>
      <w:szCs w:val="24"/>
      <w:lang w:eastAsia="ar-SA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uiPriority w:val="99"/>
    <w:rsid w:val="00EF222A"/>
    <w:rPr>
      <w:rFonts w:ascii="Heuristica" w:hAnsi="Heuristica"/>
      <w:b/>
      <w:bCs/>
      <w:iCs/>
      <w:sz w:val="28"/>
      <w:szCs w:val="28"/>
      <w:lang w:eastAsia="ar-SA"/>
    </w:rPr>
  </w:style>
  <w:style w:type="character" w:customStyle="1" w:styleId="WW8Num3z0">
    <w:name w:val="WW8Num3z0"/>
    <w:semiHidden/>
    <w:rPr>
      <w:rFonts w:ascii="Symbol" w:hAnsi="Symbol" w:cs="StarSymbol"/>
      <w:sz w:val="18"/>
      <w:szCs w:val="18"/>
    </w:rPr>
  </w:style>
  <w:style w:type="character" w:customStyle="1" w:styleId="WW8Num5z0">
    <w:name w:val="WW8Num5z0"/>
    <w:semiHidden/>
    <w:rPr>
      <w:rFonts w:ascii="Symbol" w:hAnsi="Symbol"/>
    </w:rPr>
  </w:style>
  <w:style w:type="character" w:customStyle="1" w:styleId="WW-Standardnpsmoodstavce">
    <w:name w:val="WW-Standardní písmo odstavce"/>
    <w:semiHidden/>
  </w:style>
  <w:style w:type="character" w:customStyle="1" w:styleId="WW8Num2z0">
    <w:name w:val="WW8Num2z0"/>
    <w:semiHidden/>
    <w:rPr>
      <w:rFonts w:ascii="Symbol" w:hAnsi="Symbol"/>
    </w:rPr>
  </w:style>
  <w:style w:type="character" w:customStyle="1" w:styleId="WW8Num4z0">
    <w:name w:val="WW8Num4z0"/>
    <w:semiHidden/>
    <w:rPr>
      <w:rFonts w:ascii="Symbol" w:hAnsi="Symbol" w:cs="StarSymbol"/>
      <w:sz w:val="18"/>
      <w:szCs w:val="18"/>
    </w:rPr>
  </w:style>
  <w:style w:type="character" w:customStyle="1" w:styleId="WW-WW8Num5z0">
    <w:name w:val="WW-WW8Num5z0"/>
    <w:semiHidden/>
    <w:rPr>
      <w:rFonts w:ascii="Symbol" w:hAnsi="Symbol" w:cs="StarSymbol"/>
      <w:sz w:val="18"/>
      <w:szCs w:val="18"/>
    </w:rPr>
  </w:style>
  <w:style w:type="character" w:customStyle="1" w:styleId="WW8Num8z0">
    <w:name w:val="WW8Num8z0"/>
    <w:semiHidden/>
    <w:rPr>
      <w:rFonts w:ascii="Symbol" w:hAnsi="Symbol"/>
    </w:rPr>
  </w:style>
  <w:style w:type="character" w:customStyle="1" w:styleId="WW8Num8z1">
    <w:name w:val="WW8Num8z1"/>
    <w:semiHidden/>
    <w:rPr>
      <w:rFonts w:ascii="Courier New" w:hAnsi="Courier New" w:cs="Courier New"/>
    </w:rPr>
  </w:style>
  <w:style w:type="character" w:customStyle="1" w:styleId="WW8Num8z2">
    <w:name w:val="WW8Num8z2"/>
    <w:semiHidden/>
    <w:rPr>
      <w:rFonts w:ascii="Wingdings" w:hAnsi="Wingdings"/>
    </w:rPr>
  </w:style>
  <w:style w:type="character" w:customStyle="1" w:styleId="WW-Standardnpsmoodstavce1">
    <w:name w:val="WW-Standardní písmo odstavce1"/>
    <w:semiHidden/>
  </w:style>
  <w:style w:type="character" w:customStyle="1" w:styleId="WW-WW8Num2z0">
    <w:name w:val="WW-WW8Num2z0"/>
    <w:semiHidden/>
    <w:rPr>
      <w:rFonts w:ascii="Symbol" w:hAnsi="Symbol"/>
    </w:rPr>
  </w:style>
  <w:style w:type="character" w:customStyle="1" w:styleId="WW-WW8Num4z0">
    <w:name w:val="WW-WW8Num4z0"/>
    <w:semiHidden/>
    <w:rPr>
      <w:rFonts w:ascii="Symbol" w:hAnsi="Symbol" w:cs="StarSymbol"/>
      <w:sz w:val="18"/>
      <w:szCs w:val="18"/>
    </w:rPr>
  </w:style>
  <w:style w:type="character" w:customStyle="1" w:styleId="WW-WW8Num5z01">
    <w:name w:val="WW-WW8Num5z01"/>
    <w:semiHidden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semiHidden/>
  </w:style>
  <w:style w:type="character" w:customStyle="1" w:styleId="WW-WW8Num2z01">
    <w:name w:val="WW-WW8Num2z01"/>
    <w:semiHidden/>
    <w:rPr>
      <w:rFonts w:ascii="Symbol" w:hAnsi="Symbol"/>
    </w:rPr>
  </w:style>
  <w:style w:type="character" w:customStyle="1" w:styleId="WW-WW8Num4z01">
    <w:name w:val="WW-WW8Num4z01"/>
    <w:semiHidden/>
    <w:rPr>
      <w:rFonts w:ascii="Symbol" w:hAnsi="Symbol" w:cs="StarSymbol"/>
      <w:sz w:val="18"/>
      <w:szCs w:val="18"/>
    </w:rPr>
  </w:style>
  <w:style w:type="character" w:customStyle="1" w:styleId="WW-WW8Num5z011">
    <w:name w:val="WW-WW8Num5z011"/>
    <w:semiHidden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semiHidden/>
  </w:style>
  <w:style w:type="character" w:customStyle="1" w:styleId="WW8Num1z0">
    <w:name w:val="WW8Num1z0"/>
    <w:semiHidden/>
    <w:rPr>
      <w:rFonts w:ascii="Symbol" w:hAnsi="Symbol"/>
    </w:rPr>
  </w:style>
  <w:style w:type="character" w:customStyle="1" w:styleId="WW-WW8Num3z0">
    <w:name w:val="WW-WW8Num3z0"/>
    <w:semiHidden/>
    <w:rPr>
      <w:rFonts w:ascii="Symbol" w:hAnsi="Symbol"/>
    </w:rPr>
  </w:style>
  <w:style w:type="character" w:customStyle="1" w:styleId="WW-Absatz-Standardschriftart11">
    <w:name w:val="WW-Absatz-Standardschriftart11"/>
    <w:semiHidden/>
  </w:style>
  <w:style w:type="character" w:customStyle="1" w:styleId="WW-WW8Num1z0">
    <w:name w:val="WW-WW8Num1z0"/>
    <w:semiHidden/>
    <w:rPr>
      <w:rFonts w:ascii="Symbol" w:hAnsi="Symbol"/>
    </w:rPr>
  </w:style>
  <w:style w:type="character" w:customStyle="1" w:styleId="WW-WW8Num5z0111">
    <w:name w:val="WW-WW8Num5z0111"/>
    <w:semiHidden/>
    <w:rPr>
      <w:rFonts w:ascii="Symbol" w:hAnsi="Symbol"/>
    </w:rPr>
  </w:style>
  <w:style w:type="character" w:customStyle="1" w:styleId="WW8Num6z0">
    <w:name w:val="WW8Num6z0"/>
    <w:semiHidden/>
    <w:rPr>
      <w:rFonts w:ascii="Symbol" w:hAnsi="Symbol"/>
    </w:rPr>
  </w:style>
  <w:style w:type="character" w:customStyle="1" w:styleId="WW8Num7z0">
    <w:name w:val="WW8Num7z0"/>
    <w:semiHidden/>
    <w:rPr>
      <w:rFonts w:ascii="StarSymbol" w:hAnsi="StarSymbol" w:cs="StarSymbol"/>
      <w:sz w:val="18"/>
      <w:szCs w:val="18"/>
    </w:rPr>
  </w:style>
  <w:style w:type="character" w:customStyle="1" w:styleId="WW-Standardnpsmoodstavce11">
    <w:name w:val="WW-Standardní písmo odstavce11"/>
    <w:semiHidden/>
  </w:style>
  <w:style w:type="character" w:customStyle="1" w:styleId="WW-WW8Num1z01">
    <w:name w:val="WW-WW8Num1z01"/>
    <w:semiHidden/>
    <w:rPr>
      <w:rFonts w:ascii="Symbol" w:hAnsi="Symbol"/>
    </w:rPr>
  </w:style>
  <w:style w:type="character" w:customStyle="1" w:styleId="WW8Num1z1">
    <w:name w:val="WW8Num1z1"/>
    <w:semiHidden/>
    <w:rPr>
      <w:rFonts w:ascii="Courier New" w:hAnsi="Courier New" w:cs="Courier New"/>
    </w:rPr>
  </w:style>
  <w:style w:type="character" w:customStyle="1" w:styleId="WW8Num1z2">
    <w:name w:val="WW8Num1z2"/>
    <w:semiHidden/>
    <w:rPr>
      <w:rFonts w:ascii="Wingdings" w:hAnsi="Wingdings"/>
    </w:rPr>
  </w:style>
  <w:style w:type="character" w:customStyle="1" w:styleId="WW-WW8Num2z011">
    <w:name w:val="WW-WW8Num2z011"/>
    <w:semiHidden/>
    <w:rPr>
      <w:rFonts w:ascii="Symbol" w:hAnsi="Symbol"/>
    </w:rPr>
  </w:style>
  <w:style w:type="character" w:customStyle="1" w:styleId="WW8Num2z1">
    <w:name w:val="WW8Num2z1"/>
    <w:semiHidden/>
    <w:rPr>
      <w:rFonts w:ascii="Courier New" w:hAnsi="Courier New" w:cs="Courier New"/>
    </w:rPr>
  </w:style>
  <w:style w:type="character" w:customStyle="1" w:styleId="WW8Num2z2">
    <w:name w:val="WW8Num2z2"/>
    <w:semiHidden/>
    <w:rPr>
      <w:rFonts w:ascii="Wingdings" w:hAnsi="Wingdings"/>
    </w:rPr>
  </w:style>
  <w:style w:type="character" w:customStyle="1" w:styleId="WW-WW8Num4z011">
    <w:name w:val="WW-WW8Num4z011"/>
    <w:semiHidden/>
    <w:rPr>
      <w:rFonts w:ascii="Symbol" w:hAnsi="Symbol"/>
    </w:rPr>
  </w:style>
  <w:style w:type="character" w:customStyle="1" w:styleId="WW-WW8Num5z01111">
    <w:name w:val="WW-WW8Num5z01111"/>
    <w:semiHidden/>
    <w:rPr>
      <w:rFonts w:ascii="Symbol" w:hAnsi="Symbol"/>
    </w:rPr>
  </w:style>
  <w:style w:type="character" w:customStyle="1" w:styleId="WW8Num5z1">
    <w:name w:val="WW8Num5z1"/>
    <w:semiHidden/>
    <w:rPr>
      <w:rFonts w:ascii="Courier New" w:hAnsi="Courier New" w:cs="Courier New"/>
    </w:rPr>
  </w:style>
  <w:style w:type="character" w:customStyle="1" w:styleId="WW8Num5z2">
    <w:name w:val="WW8Num5z2"/>
    <w:semiHidden/>
    <w:rPr>
      <w:rFonts w:ascii="Wingdings" w:hAnsi="Wingdings"/>
    </w:rPr>
  </w:style>
  <w:style w:type="character" w:customStyle="1" w:styleId="WW-WW8Num6z0">
    <w:name w:val="WW-WW8Num6z0"/>
    <w:semiHidden/>
    <w:rPr>
      <w:rFonts w:ascii="Symbol" w:hAnsi="Symbol"/>
      <w:color w:val="auto"/>
    </w:rPr>
  </w:style>
  <w:style w:type="character" w:customStyle="1" w:styleId="WW-WW8Num8z0">
    <w:name w:val="WW-WW8Num8z0"/>
    <w:semiHidden/>
    <w:rPr>
      <w:rFonts w:ascii="Times New Roman" w:hAnsi="Times New Roman"/>
    </w:rPr>
  </w:style>
  <w:style w:type="character" w:customStyle="1" w:styleId="WW-WW8Num8z1">
    <w:name w:val="WW-WW8Num8z1"/>
    <w:semiHidden/>
    <w:rPr>
      <w:rFonts w:ascii="Courier New" w:hAnsi="Courier New"/>
    </w:rPr>
  </w:style>
  <w:style w:type="character" w:customStyle="1" w:styleId="WW8Num8z3">
    <w:name w:val="WW8Num8z3"/>
    <w:semiHidden/>
    <w:rPr>
      <w:rFonts w:ascii="Symbol" w:hAnsi="Symbol"/>
    </w:rPr>
  </w:style>
  <w:style w:type="character" w:customStyle="1" w:styleId="WW8Num8z5">
    <w:name w:val="WW8Num8z5"/>
    <w:semiHidden/>
    <w:rPr>
      <w:rFonts w:ascii="Wingdings" w:hAnsi="Wingdings"/>
    </w:rPr>
  </w:style>
  <w:style w:type="character" w:customStyle="1" w:styleId="WW8Num9z0">
    <w:name w:val="WW8Num9z0"/>
    <w:semiHidden/>
    <w:rPr>
      <w:rFonts w:ascii="Symbol" w:hAnsi="Symbol"/>
    </w:rPr>
  </w:style>
  <w:style w:type="character" w:customStyle="1" w:styleId="WW8Num9z1">
    <w:name w:val="WW8Num9z1"/>
    <w:semiHidden/>
    <w:rPr>
      <w:rFonts w:ascii="Courier New" w:hAnsi="Courier New"/>
    </w:rPr>
  </w:style>
  <w:style w:type="character" w:customStyle="1" w:styleId="WW8Num9z2">
    <w:name w:val="WW8Num9z2"/>
    <w:semiHidden/>
    <w:rPr>
      <w:rFonts w:ascii="Wingdings" w:hAnsi="Wingdings"/>
    </w:rPr>
  </w:style>
  <w:style w:type="character" w:customStyle="1" w:styleId="WW8Num12z0">
    <w:name w:val="WW8Num12z0"/>
    <w:semiHidden/>
    <w:rPr>
      <w:rFonts w:ascii="Symbol" w:hAnsi="Symbol"/>
    </w:rPr>
  </w:style>
  <w:style w:type="character" w:customStyle="1" w:styleId="WW8Num14z0">
    <w:name w:val="WW8Num14z0"/>
    <w:semiHidden/>
    <w:rPr>
      <w:rFonts w:ascii="Symbol" w:hAnsi="Symbol"/>
    </w:rPr>
  </w:style>
  <w:style w:type="character" w:customStyle="1" w:styleId="WW8Num14z1">
    <w:name w:val="WW8Num14z1"/>
    <w:semiHidden/>
    <w:rPr>
      <w:rFonts w:ascii="Courier New" w:hAnsi="Courier New"/>
    </w:rPr>
  </w:style>
  <w:style w:type="character" w:customStyle="1" w:styleId="WW8Num14z2">
    <w:name w:val="WW8Num14z2"/>
    <w:semiHidden/>
    <w:rPr>
      <w:rFonts w:ascii="Arial" w:eastAsia="Times New Roman" w:hAnsi="Arial" w:cs="Arial"/>
    </w:rPr>
  </w:style>
  <w:style w:type="character" w:customStyle="1" w:styleId="WW8Num14z5">
    <w:name w:val="WW8Num14z5"/>
    <w:semiHidden/>
    <w:rPr>
      <w:rFonts w:ascii="Wingdings" w:hAnsi="Wingdings"/>
    </w:rPr>
  </w:style>
  <w:style w:type="character" w:customStyle="1" w:styleId="WW8Num15z1">
    <w:name w:val="WW8Num15z1"/>
    <w:semiHidden/>
    <w:rPr>
      <w:rFonts w:ascii="Times New Roman" w:eastAsia="Times New Roman" w:hAnsi="Times New Roman" w:cs="Times New Roman"/>
    </w:rPr>
  </w:style>
  <w:style w:type="character" w:customStyle="1" w:styleId="WW8Num16z0">
    <w:name w:val="WW8Num16z0"/>
    <w:semiHidden/>
    <w:rPr>
      <w:rFonts w:ascii="Symbol" w:hAnsi="Symbol"/>
    </w:rPr>
  </w:style>
  <w:style w:type="character" w:customStyle="1" w:styleId="WW8Num16z1">
    <w:name w:val="WW8Num16z1"/>
    <w:semiHidden/>
    <w:rPr>
      <w:rFonts w:ascii="Courier New" w:hAnsi="Courier New" w:cs="Courier New"/>
    </w:rPr>
  </w:style>
  <w:style w:type="character" w:customStyle="1" w:styleId="WW8Num16z2">
    <w:name w:val="WW8Num16z2"/>
    <w:semiHidden/>
    <w:rPr>
      <w:rFonts w:ascii="Wingdings" w:hAnsi="Wingdings"/>
    </w:rPr>
  </w:style>
  <w:style w:type="character" w:customStyle="1" w:styleId="WW8Num19z0">
    <w:name w:val="WW8Num19z0"/>
    <w:semiHidden/>
    <w:rPr>
      <w:rFonts w:ascii="Symbol" w:hAnsi="Symbol"/>
      <w:color w:val="auto"/>
    </w:rPr>
  </w:style>
  <w:style w:type="character" w:customStyle="1" w:styleId="WW8Num20z0">
    <w:name w:val="WW8Num20z0"/>
    <w:semiHidden/>
    <w:rPr>
      <w:rFonts w:ascii="Symbol" w:hAnsi="Symbol"/>
    </w:rPr>
  </w:style>
  <w:style w:type="character" w:customStyle="1" w:styleId="WW8Num20z1">
    <w:name w:val="WW8Num20z1"/>
    <w:semiHidden/>
    <w:rPr>
      <w:rFonts w:ascii="Courier New" w:hAnsi="Courier New"/>
    </w:rPr>
  </w:style>
  <w:style w:type="character" w:customStyle="1" w:styleId="WW8Num20z2">
    <w:name w:val="WW8Num20z2"/>
    <w:semiHidden/>
    <w:rPr>
      <w:rFonts w:ascii="Wingdings" w:hAnsi="Wingdings"/>
    </w:rPr>
  </w:style>
  <w:style w:type="character" w:customStyle="1" w:styleId="WW8Num21z0">
    <w:name w:val="WW8Num21z0"/>
    <w:semiHidden/>
    <w:rPr>
      <w:rFonts w:ascii="Symbol" w:hAnsi="Symbol"/>
    </w:rPr>
  </w:style>
  <w:style w:type="character" w:customStyle="1" w:styleId="WW8Num21z1">
    <w:name w:val="WW8Num21z1"/>
    <w:semiHidden/>
    <w:rPr>
      <w:rFonts w:ascii="Courier New" w:hAnsi="Courier New" w:cs="Courier New"/>
    </w:rPr>
  </w:style>
  <w:style w:type="character" w:customStyle="1" w:styleId="WW8Num21z2">
    <w:name w:val="WW8Num21z2"/>
    <w:semiHidden/>
    <w:rPr>
      <w:rFonts w:ascii="Wingdings" w:hAnsi="Wingdings"/>
    </w:rPr>
  </w:style>
  <w:style w:type="character" w:customStyle="1" w:styleId="WW8Num22z0">
    <w:name w:val="WW8Num22z0"/>
    <w:semiHidden/>
    <w:rPr>
      <w:rFonts w:ascii="Symbol" w:hAnsi="Symbol"/>
    </w:rPr>
  </w:style>
  <w:style w:type="character" w:customStyle="1" w:styleId="WW8Num22z1">
    <w:name w:val="WW8Num22z1"/>
    <w:semiHidden/>
    <w:rPr>
      <w:rFonts w:ascii="Times New Roman" w:eastAsia="Times New Roman" w:hAnsi="Times New Roman" w:cs="Times New Roman"/>
    </w:rPr>
  </w:style>
  <w:style w:type="character" w:customStyle="1" w:styleId="WW8Num22z2">
    <w:name w:val="WW8Num22z2"/>
    <w:semiHidden/>
    <w:rPr>
      <w:rFonts w:ascii="Wingdings" w:hAnsi="Wingdings"/>
    </w:rPr>
  </w:style>
  <w:style w:type="character" w:customStyle="1" w:styleId="WW8Num22z4">
    <w:name w:val="WW8Num22z4"/>
    <w:semiHidden/>
    <w:rPr>
      <w:rFonts w:ascii="Courier New" w:hAnsi="Courier New"/>
    </w:rPr>
  </w:style>
  <w:style w:type="character" w:customStyle="1" w:styleId="WW8Num23z0">
    <w:name w:val="WW8Num23z0"/>
    <w:semiHidden/>
    <w:rPr>
      <w:rFonts w:ascii="Symbol" w:hAnsi="Symbol"/>
    </w:rPr>
  </w:style>
  <w:style w:type="character" w:customStyle="1" w:styleId="WW8Num23z1">
    <w:name w:val="WW8Num23z1"/>
    <w:semiHidden/>
    <w:rPr>
      <w:rFonts w:ascii="Courier New" w:hAnsi="Courier New"/>
    </w:rPr>
  </w:style>
  <w:style w:type="character" w:customStyle="1" w:styleId="WW8Num23z2">
    <w:name w:val="WW8Num23z2"/>
    <w:semiHidden/>
    <w:rPr>
      <w:rFonts w:ascii="Wingdings" w:hAnsi="Wingdings"/>
    </w:rPr>
  </w:style>
  <w:style w:type="character" w:customStyle="1" w:styleId="WW8Num24z0">
    <w:name w:val="WW8Num24z0"/>
    <w:semiHidden/>
    <w:rPr>
      <w:rFonts w:ascii="Symbol" w:hAnsi="Symbol"/>
    </w:rPr>
  </w:style>
  <w:style w:type="character" w:customStyle="1" w:styleId="WW8Num24z1">
    <w:name w:val="WW8Num24z1"/>
    <w:semiHidden/>
    <w:rPr>
      <w:rFonts w:ascii="Courier New" w:hAnsi="Courier New" w:cs="Courier New"/>
    </w:rPr>
  </w:style>
  <w:style w:type="character" w:customStyle="1" w:styleId="WW8Num24z2">
    <w:name w:val="WW8Num24z2"/>
    <w:semiHidden/>
    <w:rPr>
      <w:rFonts w:ascii="Wingdings" w:hAnsi="Wingdings"/>
    </w:rPr>
  </w:style>
  <w:style w:type="character" w:customStyle="1" w:styleId="WW8Num25z0">
    <w:name w:val="WW8Num25z0"/>
    <w:semiHidden/>
    <w:rPr>
      <w:rFonts w:ascii="Symbol" w:hAnsi="Symbol"/>
    </w:rPr>
  </w:style>
  <w:style w:type="character" w:customStyle="1" w:styleId="WW8Num25z1">
    <w:name w:val="WW8Num25z1"/>
    <w:semiHidden/>
    <w:rPr>
      <w:rFonts w:ascii="Courier New" w:hAnsi="Courier New" w:cs="Courier New"/>
    </w:rPr>
  </w:style>
  <w:style w:type="character" w:customStyle="1" w:styleId="WW8Num25z2">
    <w:name w:val="WW8Num25z2"/>
    <w:semiHidden/>
    <w:rPr>
      <w:rFonts w:ascii="Wingdings" w:hAnsi="Wingdings"/>
    </w:rPr>
  </w:style>
  <w:style w:type="character" w:customStyle="1" w:styleId="WW8Num26z0">
    <w:name w:val="WW8Num26z0"/>
    <w:semiHidden/>
    <w:rPr>
      <w:rFonts w:ascii="Symbol" w:hAnsi="Symbol"/>
    </w:rPr>
  </w:style>
  <w:style w:type="character" w:customStyle="1" w:styleId="WW8Num26z1">
    <w:name w:val="WW8Num26z1"/>
    <w:semiHidden/>
    <w:rPr>
      <w:rFonts w:ascii="Courier New" w:hAnsi="Courier New"/>
    </w:rPr>
  </w:style>
  <w:style w:type="character" w:customStyle="1" w:styleId="WW8Num26z2">
    <w:name w:val="WW8Num26z2"/>
    <w:semiHidden/>
    <w:rPr>
      <w:rFonts w:ascii="Wingdings" w:hAnsi="Wingdings"/>
    </w:rPr>
  </w:style>
  <w:style w:type="character" w:customStyle="1" w:styleId="WW8Num29z0">
    <w:name w:val="WW8Num29z0"/>
    <w:semiHidden/>
    <w:rPr>
      <w:rFonts w:ascii="Symbol" w:hAnsi="Symbol"/>
    </w:rPr>
  </w:style>
  <w:style w:type="character" w:customStyle="1" w:styleId="WW8Num29z1">
    <w:name w:val="WW8Num29z1"/>
    <w:semiHidden/>
    <w:rPr>
      <w:rFonts w:ascii="Courier New" w:hAnsi="Courier New" w:cs="Courier New"/>
    </w:rPr>
  </w:style>
  <w:style w:type="character" w:customStyle="1" w:styleId="WW8Num29z2">
    <w:name w:val="WW8Num29z2"/>
    <w:semiHidden/>
    <w:rPr>
      <w:rFonts w:ascii="Wingdings" w:hAnsi="Wingdings"/>
    </w:rPr>
  </w:style>
  <w:style w:type="character" w:customStyle="1" w:styleId="WW8Num31z0">
    <w:name w:val="WW8Num31z0"/>
    <w:semiHidden/>
    <w:rPr>
      <w:rFonts w:ascii="Symbol" w:hAnsi="Symbol"/>
    </w:rPr>
  </w:style>
  <w:style w:type="character" w:customStyle="1" w:styleId="WW8Num31z1">
    <w:name w:val="WW8Num31z1"/>
    <w:semiHidden/>
    <w:rPr>
      <w:rFonts w:ascii="Courier New" w:hAnsi="Courier New"/>
    </w:rPr>
  </w:style>
  <w:style w:type="character" w:customStyle="1" w:styleId="WW8Num31z2">
    <w:name w:val="WW8Num31z2"/>
    <w:semiHidden/>
    <w:rPr>
      <w:rFonts w:ascii="Wingdings" w:hAnsi="Wingdings"/>
    </w:rPr>
  </w:style>
  <w:style w:type="character" w:customStyle="1" w:styleId="WW8Num32z0">
    <w:name w:val="WW8Num32z0"/>
    <w:semiHidden/>
    <w:rPr>
      <w:rFonts w:ascii="Symbol" w:hAnsi="Symbol"/>
    </w:rPr>
  </w:style>
  <w:style w:type="character" w:customStyle="1" w:styleId="WW8Num32z1">
    <w:name w:val="WW8Num32z1"/>
    <w:semiHidden/>
    <w:rPr>
      <w:rFonts w:ascii="Courier New" w:hAnsi="Courier New"/>
    </w:rPr>
  </w:style>
  <w:style w:type="character" w:customStyle="1" w:styleId="WW8Num32z2">
    <w:name w:val="WW8Num32z2"/>
    <w:semiHidden/>
    <w:rPr>
      <w:rFonts w:ascii="Wingdings" w:hAnsi="Wingdings"/>
    </w:rPr>
  </w:style>
  <w:style w:type="character" w:customStyle="1" w:styleId="WW-Standardnpsmoodstavce111">
    <w:name w:val="WW-Standardní písmo odstavce111"/>
    <w:semiHidden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ostrnky">
    <w:name w:val="page number"/>
    <w:basedOn w:val="WW-Standardnpsmoodstavce111"/>
    <w:semiHidden/>
  </w:style>
  <w:style w:type="character" w:customStyle="1" w:styleId="Symbolyproslovn">
    <w:name w:val="Symboly pro číslování"/>
    <w:semiHidden/>
  </w:style>
  <w:style w:type="character" w:customStyle="1" w:styleId="WW-Symbolyproslovn">
    <w:name w:val="WW-Symboly pro číslování"/>
    <w:semiHidden/>
  </w:style>
  <w:style w:type="character" w:customStyle="1" w:styleId="WW-Symbolyproslovn1">
    <w:name w:val="WW-Symboly pro číslování1"/>
    <w:semiHidden/>
  </w:style>
  <w:style w:type="character" w:customStyle="1" w:styleId="WW-Symbolyproslovn11">
    <w:name w:val="WW-Symboly pro číslování11"/>
    <w:semiHidden/>
  </w:style>
  <w:style w:type="character" w:customStyle="1" w:styleId="WW-Symbolyproslovn111">
    <w:name w:val="WW-Symboly pro číslování111"/>
    <w:semiHidden/>
  </w:style>
  <w:style w:type="character" w:customStyle="1" w:styleId="WW-Symbolyproslovn1111">
    <w:name w:val="WW-Symboly pro číslování1111"/>
    <w:semiHidden/>
  </w:style>
  <w:style w:type="character" w:customStyle="1" w:styleId="WW-Symbolyproslovn11111">
    <w:name w:val="WW-Symboly pro číslování11111"/>
    <w:semiHidden/>
  </w:style>
  <w:style w:type="character" w:customStyle="1" w:styleId="Symbolyproodrky">
    <w:name w:val="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">
    <w:name w:val="WW-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">
    <w:name w:val="WW-Symboly pro odrážky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">
    <w:name w:val="WW-Symboly pro odrážky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">
    <w:name w:val="WW-Symboly pro odrážky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">
    <w:name w:val="WW-Symboly pro odrážky1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1">
    <w:name w:val="WW-Symboly pro odrážky11111"/>
    <w:semiHidden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semiHidden/>
    <w:rsid w:val="004D0393"/>
    <w:pPr>
      <w:keepNext/>
      <w:framePr w:wrap="notBeside" w:vAnchor="text" w:hAnchor="text" w:y="1"/>
      <w:spacing w:before="240"/>
      <w:jc w:val="center"/>
    </w:pPr>
    <w:rPr>
      <w:rFonts w:eastAsia="Lucida Sans Unicode" w:cs="Tahoma"/>
      <w:b/>
      <w:sz w:val="36"/>
      <w:szCs w:val="28"/>
    </w:rPr>
  </w:style>
  <w:style w:type="paragraph" w:styleId="Zkladntext">
    <w:name w:val="Body Text"/>
    <w:basedOn w:val="Normln"/>
    <w:link w:val="ZkladntextChar"/>
    <w:semiHidden/>
    <w:rPr>
      <w:rFonts w:ascii="Arial" w:hAnsi="Arial" w:cs="Arial"/>
    </w:rPr>
  </w:style>
  <w:style w:type="character" w:customStyle="1" w:styleId="ZkladntextChar">
    <w:name w:val="Základní text Char"/>
    <w:link w:val="Zkladntext"/>
    <w:semiHidden/>
    <w:rsid w:val="00F00998"/>
    <w:rPr>
      <w:rFonts w:ascii="Arial" w:hAnsi="Arial" w:cs="Arial"/>
      <w:sz w:val="22"/>
      <w:szCs w:val="24"/>
      <w:lang w:eastAsia="ar-SA"/>
    </w:r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Rejstk">
    <w:name w:val="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">
    <w:name w:val="WW-Nadpis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">
    <w:name w:val="WW-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">
    <w:name w:val="WW-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">
    <w:name w:val="WW-Nadpis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">
    <w:name w:val="WW-Popisek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">
    <w:name w:val="WW-Rejstřík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">
    <w:name w:val="WW-Nadpis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">
    <w:name w:val="WW-Popisek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">
    <w:name w:val="WW-Rejstřík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">
    <w:name w:val="WW-Nadpis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">
    <w:name w:val="WW-Popisek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">
    <w:name w:val="WW-Rejstřík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1">
    <w:name w:val="WW-Nadpis1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1">
    <w:name w:val="WW-Popisek1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1">
    <w:name w:val="WW-Rejstřík1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Popisek11111">
    <w:name w:val="WW-Popisek11111"/>
    <w:basedOn w:val="Normln"/>
    <w:semiHidden/>
    <w:pPr>
      <w:suppressLineNumbers/>
      <w:spacing w:before="120"/>
    </w:pPr>
    <w:rPr>
      <w:rFonts w:cs="Tahoma"/>
      <w:i/>
      <w:iCs/>
      <w:sz w:val="20"/>
      <w:szCs w:val="20"/>
    </w:rPr>
  </w:style>
  <w:style w:type="paragraph" w:customStyle="1" w:styleId="WW-Rejstk11111">
    <w:name w:val="WW-Rejstřík11111"/>
    <w:basedOn w:val="Normln"/>
    <w:semiHidden/>
    <w:pPr>
      <w:suppressLineNumbers/>
    </w:pPr>
    <w:rPr>
      <w:rFonts w:cs="Tahoma"/>
    </w:rPr>
  </w:style>
  <w:style w:type="paragraph" w:customStyle="1" w:styleId="WW-Nadpis11111">
    <w:name w:val="WW-Nadpis11111"/>
    <w:basedOn w:val="Normln"/>
    <w:next w:val="Zkladntext"/>
    <w:semiHidden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Odsazen1">
    <w:name w:val="Odsazení 1"/>
    <w:basedOn w:val="Normln"/>
    <w:semiHidden/>
    <w:pPr>
      <w:widowControl w:val="0"/>
    </w:pPr>
    <w:rPr>
      <w:rFonts w:ascii="Arial" w:hAnsi="Arial" w:cs="Arial"/>
      <w:szCs w:val="20"/>
    </w:rPr>
  </w:style>
  <w:style w:type="paragraph" w:customStyle="1" w:styleId="Odsazen2">
    <w:name w:val="Odsazení 2"/>
    <w:basedOn w:val="Normln"/>
    <w:semiHidden/>
    <w:pPr>
      <w:widowControl w:val="0"/>
    </w:pPr>
    <w:rPr>
      <w:szCs w:val="20"/>
    </w:rPr>
  </w:style>
  <w:style w:type="paragraph" w:customStyle="1" w:styleId="WW-Zkladntext2">
    <w:name w:val="WW-Základní text 2"/>
    <w:basedOn w:val="Normln"/>
    <w:semiHidden/>
    <w:rPr>
      <w:rFonts w:ascii="Arial" w:hAnsi="Arial" w:cs="Arial"/>
      <w:color w:val="0000FF"/>
    </w:rPr>
  </w:style>
  <w:style w:type="paragraph" w:customStyle="1" w:styleId="WW-Zkladntext3">
    <w:name w:val="WW-Základní text 3"/>
    <w:basedOn w:val="Normln"/>
    <w:semiHidden/>
    <w:rPr>
      <w:rFonts w:ascii="Arial" w:hAnsi="Arial" w:cs="Arial"/>
    </w:rPr>
  </w:style>
  <w:style w:type="paragraph" w:styleId="Zhlav">
    <w:name w:val="header"/>
    <w:basedOn w:val="Normln"/>
    <w:link w:val="ZhlavChar"/>
    <w:rsid w:val="00C36FAE"/>
    <w:pPr>
      <w:tabs>
        <w:tab w:val="center" w:pos="4536"/>
        <w:tab w:val="right" w:pos="9072"/>
      </w:tabs>
      <w:spacing w:after="0"/>
    </w:pPr>
    <w:rPr>
      <w:rFonts w:ascii="Arial" w:hAnsi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pPr>
      <w:ind w:left="708"/>
    </w:pPr>
    <w:rPr>
      <w:rFonts w:ascii="Arial" w:hAnsi="Arial" w:cs="Arial"/>
    </w:rPr>
  </w:style>
  <w:style w:type="character" w:customStyle="1" w:styleId="ZkladntextodsazenChar">
    <w:name w:val="Základní text odsazený Char"/>
    <w:link w:val="Zkladntextodsazen"/>
    <w:semiHidden/>
    <w:rsid w:val="00F00998"/>
    <w:rPr>
      <w:rFonts w:ascii="Arial" w:hAnsi="Arial" w:cs="Arial"/>
      <w:sz w:val="22"/>
      <w:szCs w:val="24"/>
      <w:lang w:eastAsia="ar-SA"/>
    </w:rPr>
  </w:style>
  <w:style w:type="paragraph" w:customStyle="1" w:styleId="WW-Prosttext">
    <w:name w:val="WW-Prostý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zvraznn">
    <w:name w:val="zvýraznění"/>
    <w:basedOn w:val="Normln"/>
    <w:semiHidden/>
    <w:pPr>
      <w:widowControl w:val="0"/>
      <w:autoSpaceDE w:val="0"/>
      <w:spacing w:before="120" w:after="0"/>
    </w:pPr>
    <w:rPr>
      <w:rFonts w:ascii="Book Antiqua" w:hAnsi="Book Antiqua" w:cs="Tahoma"/>
      <w:szCs w:val="20"/>
    </w:rPr>
  </w:style>
  <w:style w:type="paragraph" w:customStyle="1" w:styleId="WW-Textbubliny">
    <w:name w:val="WW-Text bubliny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Zkladntext"/>
    <w:semiHidden/>
    <w:pPr>
      <w:suppressLineNumbers/>
    </w:pPr>
  </w:style>
  <w:style w:type="paragraph" w:customStyle="1" w:styleId="WW-Obsahtabulky">
    <w:name w:val="WW-Obsah tabulky"/>
    <w:basedOn w:val="Zkladntext"/>
    <w:semiHidden/>
    <w:pPr>
      <w:suppressLineNumbers/>
    </w:pPr>
  </w:style>
  <w:style w:type="paragraph" w:customStyle="1" w:styleId="WW-Obsahtabulky1">
    <w:name w:val="WW-Obsah tabulky1"/>
    <w:basedOn w:val="Zkladntext"/>
    <w:semiHidden/>
    <w:pPr>
      <w:suppressLineNumbers/>
    </w:pPr>
  </w:style>
  <w:style w:type="paragraph" w:customStyle="1" w:styleId="WW-Obsahtabulky11">
    <w:name w:val="WW-Obsah tabulky11"/>
    <w:basedOn w:val="Zkladntext"/>
    <w:semiHidden/>
    <w:pPr>
      <w:suppressLineNumbers/>
    </w:pPr>
  </w:style>
  <w:style w:type="paragraph" w:customStyle="1" w:styleId="WW-Obsahtabulky111">
    <w:name w:val="WW-Obsah tabulky111"/>
    <w:basedOn w:val="Zkladntext"/>
    <w:semiHidden/>
    <w:pPr>
      <w:suppressLineNumbers/>
    </w:pPr>
  </w:style>
  <w:style w:type="paragraph" w:customStyle="1" w:styleId="WW-Obsahtabulky1111">
    <w:name w:val="WW-Obsah tabulky1111"/>
    <w:basedOn w:val="Zkladntext"/>
    <w:semiHidden/>
    <w:pPr>
      <w:suppressLineNumbers/>
    </w:pPr>
  </w:style>
  <w:style w:type="paragraph" w:customStyle="1" w:styleId="WW-Obsahtabulky11111">
    <w:name w:val="WW-Obsah tabulky11111"/>
    <w:basedOn w:val="Zkladntext"/>
    <w:semiHidden/>
    <w:pPr>
      <w:suppressLineNumbers/>
    </w:pPr>
  </w:style>
  <w:style w:type="paragraph" w:customStyle="1" w:styleId="Nadpistabulky">
    <w:name w:val="Nadpis tabulky"/>
    <w:basedOn w:val="Obsahtabulky"/>
    <w:semiHidden/>
    <w:pPr>
      <w:jc w:val="center"/>
    </w:pPr>
    <w:rPr>
      <w:b/>
      <w:bCs/>
      <w:i/>
      <w:iCs/>
    </w:rPr>
  </w:style>
  <w:style w:type="paragraph" w:customStyle="1" w:styleId="WW-Nadpistabulky">
    <w:name w:val="WW-Nadpis tabulky"/>
    <w:basedOn w:val="WW-Obsahtabulky"/>
    <w:semiHidden/>
    <w:pPr>
      <w:jc w:val="center"/>
    </w:pPr>
    <w:rPr>
      <w:b/>
      <w:bCs/>
      <w:i/>
      <w:iCs/>
    </w:rPr>
  </w:style>
  <w:style w:type="paragraph" w:customStyle="1" w:styleId="WW-Nadpistabulky1">
    <w:name w:val="WW-Nadpis tabulky1"/>
    <w:basedOn w:val="WW-Obsahtabulky1"/>
    <w:semiHidden/>
    <w:pPr>
      <w:jc w:val="center"/>
    </w:pPr>
    <w:rPr>
      <w:b/>
      <w:bCs/>
      <w:i/>
      <w:iCs/>
    </w:rPr>
  </w:style>
  <w:style w:type="paragraph" w:customStyle="1" w:styleId="WW-Nadpistabulky11">
    <w:name w:val="WW-Nadpis tabulky11"/>
    <w:basedOn w:val="WW-Obsahtabulky11"/>
    <w:semiHidden/>
    <w:pPr>
      <w:jc w:val="center"/>
    </w:pPr>
    <w:rPr>
      <w:b/>
      <w:bCs/>
      <w:i/>
      <w:iCs/>
    </w:rPr>
  </w:style>
  <w:style w:type="paragraph" w:customStyle="1" w:styleId="WW-Nadpistabulky111">
    <w:name w:val="WW-Nadpis tabulky111"/>
    <w:basedOn w:val="WW-Obsahtabulky111"/>
    <w:semiHidden/>
    <w:pPr>
      <w:jc w:val="center"/>
    </w:pPr>
    <w:rPr>
      <w:b/>
      <w:bCs/>
      <w:i/>
      <w:iCs/>
    </w:rPr>
  </w:style>
  <w:style w:type="paragraph" w:customStyle="1" w:styleId="WW-Nadpistabulky1111">
    <w:name w:val="WW-Nadpis tabulky1111"/>
    <w:basedOn w:val="WW-Obsahtabulky1111"/>
    <w:semiHidden/>
    <w:pPr>
      <w:jc w:val="center"/>
    </w:pPr>
    <w:rPr>
      <w:b/>
      <w:bCs/>
      <w:i/>
      <w:iCs/>
    </w:rPr>
  </w:style>
  <w:style w:type="paragraph" w:customStyle="1" w:styleId="WW-Nadpistabulky11111">
    <w:name w:val="WW-Nadpis tabulky11111"/>
    <w:basedOn w:val="WW-Obsahtabulky11111"/>
    <w:semiHidden/>
    <w:pPr>
      <w:jc w:val="center"/>
    </w:pPr>
    <w:rPr>
      <w:b/>
      <w:bCs/>
      <w:i/>
      <w:iCs/>
    </w:rPr>
  </w:style>
  <w:style w:type="paragraph" w:customStyle="1" w:styleId="Zkladntext0">
    <w:name w:val="Základní text~~"/>
    <w:basedOn w:val="Normln"/>
    <w:semiHidden/>
    <w:pPr>
      <w:widowControl w:val="0"/>
      <w:spacing w:line="288" w:lineRule="auto"/>
    </w:pPr>
    <w:rPr>
      <w:szCs w:val="20"/>
    </w:rPr>
  </w:style>
  <w:style w:type="paragraph" w:customStyle="1" w:styleId="WW-Prosttext1">
    <w:name w:val="WW-Prostý text1"/>
    <w:basedOn w:val="Normln"/>
    <w:semiHidden/>
    <w:pPr>
      <w:suppressAutoHyphens w:val="0"/>
    </w:pPr>
    <w:rPr>
      <w:rFonts w:ascii="Courier New" w:hAnsi="Courier New" w:cs="Courier New"/>
      <w:sz w:val="20"/>
      <w:szCs w:val="20"/>
    </w:rPr>
  </w:style>
  <w:style w:type="character" w:styleId="Odkaznakoment">
    <w:name w:val="annotation reference"/>
    <w:uiPriority w:val="99"/>
    <w:semiHidden/>
    <w:unhideWhenUsed/>
    <w:rsid w:val="008068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068A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068A8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68A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068A8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68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068A8"/>
    <w:rPr>
      <w:rFonts w:ascii="Tahoma" w:hAnsi="Tahoma" w:cs="Tahoma"/>
      <w:sz w:val="16"/>
      <w:szCs w:val="16"/>
      <w:lang w:eastAsia="ar-SA"/>
    </w:rPr>
  </w:style>
  <w:style w:type="paragraph" w:customStyle="1" w:styleId="Odstavecseseznamem1">
    <w:name w:val="Odstavec se seznamem1"/>
    <w:basedOn w:val="Normln"/>
    <w:uiPriority w:val="34"/>
    <w:semiHidden/>
    <w:qFormat/>
    <w:rsid w:val="0036023F"/>
    <w:pPr>
      <w:ind w:left="708"/>
    </w:pPr>
  </w:style>
  <w:style w:type="table" w:styleId="Mkatabulky">
    <w:name w:val="Table Grid"/>
    <w:basedOn w:val="Normlntabulka"/>
    <w:semiHidden/>
    <w:rsid w:val="008760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-titulnstrnka">
    <w:name w:val="Nadpis - titulní stránka"/>
    <w:basedOn w:val="Normln"/>
    <w:next w:val="Normln"/>
    <w:link w:val="Nadpis-titulnstrnkaChar"/>
    <w:qFormat/>
    <w:rsid w:val="00E76AA6"/>
    <w:pPr>
      <w:jc w:val="center"/>
    </w:pPr>
    <w:rPr>
      <w:b/>
      <w:sz w:val="36"/>
    </w:rPr>
  </w:style>
  <w:style w:type="character" w:customStyle="1" w:styleId="Nadpis-titulnstrnkaChar">
    <w:name w:val="Nadpis - titulní stránka Char"/>
    <w:link w:val="Nadpis-titulnstrnka"/>
    <w:rsid w:val="00E76AA6"/>
    <w:rPr>
      <w:rFonts w:ascii="Heuristica" w:hAnsi="Heuristica"/>
      <w:b/>
      <w:sz w:val="36"/>
      <w:szCs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465A5F"/>
    <w:pPr>
      <w:tabs>
        <w:tab w:val="left" w:pos="426"/>
        <w:tab w:val="right" w:leader="dot" w:pos="9155"/>
      </w:tabs>
    </w:pPr>
  </w:style>
  <w:style w:type="paragraph" w:styleId="Textpoznpodarou">
    <w:name w:val="footnote text"/>
    <w:basedOn w:val="Normln"/>
    <w:semiHidden/>
    <w:rsid w:val="00B2133E"/>
    <w:rPr>
      <w:sz w:val="20"/>
      <w:szCs w:val="20"/>
    </w:rPr>
  </w:style>
  <w:style w:type="character" w:styleId="Znakapoznpodarou">
    <w:name w:val="footnote reference"/>
    <w:semiHidden/>
    <w:rsid w:val="00B2133E"/>
    <w:rPr>
      <w:vertAlign w:val="superscript"/>
    </w:rPr>
  </w:style>
  <w:style w:type="paragraph" w:customStyle="1" w:styleId="PFI-pismeno">
    <w:name w:val="PFI-pismeno"/>
    <w:basedOn w:val="PFI-odstavec"/>
    <w:uiPriority w:val="99"/>
    <w:rsid w:val="00EF222A"/>
    <w:pPr>
      <w:numPr>
        <w:ilvl w:val="4"/>
      </w:numPr>
    </w:pPr>
  </w:style>
  <w:style w:type="paragraph" w:customStyle="1" w:styleId="PFI-msk">
    <w:name w:val="PFI-římské"/>
    <w:basedOn w:val="PFI-pismeno"/>
    <w:rsid w:val="00EF222A"/>
    <w:pPr>
      <w:numPr>
        <w:ilvl w:val="5"/>
      </w:numPr>
    </w:pPr>
  </w:style>
  <w:style w:type="paragraph" w:styleId="Seznamsodrkami">
    <w:name w:val="List Bullet"/>
    <w:basedOn w:val="Normln"/>
    <w:rsid w:val="004A1034"/>
    <w:pPr>
      <w:numPr>
        <w:numId w:val="3"/>
      </w:numPr>
    </w:pPr>
  </w:style>
  <w:style w:type="paragraph" w:customStyle="1" w:styleId="Textlnku">
    <w:name w:val="Text článku"/>
    <w:basedOn w:val="Normln"/>
    <w:rsid w:val="00E76AA6"/>
    <w:pPr>
      <w:suppressAutoHyphens w:val="0"/>
      <w:spacing w:before="240" w:after="0"/>
      <w:ind w:firstLine="425"/>
      <w:outlineLvl w:val="5"/>
    </w:pPr>
    <w:rPr>
      <w:rFonts w:ascii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E76AA6"/>
    <w:pPr>
      <w:numPr>
        <w:ilvl w:val="2"/>
        <w:numId w:val="6"/>
      </w:numPr>
      <w:suppressAutoHyphens w:val="0"/>
      <w:spacing w:after="0"/>
      <w:outlineLvl w:val="8"/>
    </w:pPr>
    <w:rPr>
      <w:rFonts w:ascii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E76AA6"/>
    <w:pPr>
      <w:numPr>
        <w:ilvl w:val="1"/>
        <w:numId w:val="6"/>
      </w:numPr>
      <w:suppressAutoHyphens w:val="0"/>
      <w:spacing w:after="0"/>
      <w:outlineLvl w:val="7"/>
    </w:pPr>
    <w:rPr>
      <w:rFonts w:ascii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E76AA6"/>
    <w:pPr>
      <w:numPr>
        <w:numId w:val="6"/>
      </w:numPr>
      <w:tabs>
        <w:tab w:val="left" w:pos="851"/>
      </w:tabs>
      <w:suppressAutoHyphens w:val="0"/>
      <w:spacing w:before="120"/>
      <w:outlineLvl w:val="6"/>
    </w:pPr>
    <w:rPr>
      <w:rFonts w:ascii="Times New Roman" w:hAnsi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Normln"/>
    <w:rsid w:val="00E76AA6"/>
    <w:pPr>
      <w:keepNext/>
      <w:suppressAutoHyphens w:val="0"/>
      <w:spacing w:before="240" w:after="0"/>
      <w:jc w:val="center"/>
    </w:pPr>
    <w:rPr>
      <w:rFonts w:ascii="Times New Roman" w:hAnsi="Times New Roman"/>
      <w:sz w:val="24"/>
      <w:szCs w:val="20"/>
      <w:lang w:eastAsia="cs-CZ"/>
    </w:rPr>
  </w:style>
  <w:style w:type="character" w:customStyle="1" w:styleId="tituleknadpisu">
    <w:name w:val="titulek nadpisu"/>
    <w:rsid w:val="00E76AA6"/>
    <w:rPr>
      <w:b/>
    </w:rPr>
  </w:style>
  <w:style w:type="paragraph" w:customStyle="1" w:styleId="PFIOdstavec">
    <w:name w:val="PFI Odstavec"/>
    <w:basedOn w:val="Zkladntext"/>
    <w:rsid w:val="00E76AA6"/>
    <w:pPr>
      <w:numPr>
        <w:ilvl w:val="3"/>
      </w:numPr>
      <w:suppressAutoHyphens w:val="0"/>
      <w:spacing w:after="57" w:line="288" w:lineRule="auto"/>
      <w:outlineLvl w:val="3"/>
    </w:pPr>
    <w:rPr>
      <w:rFonts w:ascii="Heuristica" w:eastAsia="SimSun" w:hAnsi="Heuristica" w:cs="Arial Unicode MS"/>
      <w:szCs w:val="22"/>
      <w:lang w:eastAsia="zh-CN" w:bidi="hi-IN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uiPriority w:val="99"/>
    <w:rsid w:val="007159BE"/>
    <w:rPr>
      <w:rFonts w:ascii="Heuristica" w:hAnsi="Heuristica"/>
      <w:b/>
      <w:sz w:val="22"/>
      <w:szCs w:val="24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CA5AE8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cs-CZ"/>
    </w:rPr>
  </w:style>
  <w:style w:type="character" w:styleId="PromnnHTML">
    <w:name w:val="HTML Variable"/>
    <w:uiPriority w:val="99"/>
    <w:semiHidden/>
    <w:unhideWhenUsed/>
    <w:rsid w:val="00CA5AE8"/>
    <w:rPr>
      <w:i/>
      <w:iCs/>
    </w:rPr>
  </w:style>
  <w:style w:type="paragraph" w:styleId="Revize">
    <w:name w:val="Revision"/>
    <w:hidden/>
    <w:uiPriority w:val="99"/>
    <w:semiHidden/>
    <w:rsid w:val="00CA5AE8"/>
    <w:rPr>
      <w:rFonts w:ascii="Heuristica" w:hAnsi="Heuristica"/>
      <w:sz w:val="22"/>
      <w:szCs w:val="24"/>
      <w:lang w:eastAsia="ar-SA"/>
    </w:rPr>
  </w:style>
  <w:style w:type="paragraph" w:customStyle="1" w:styleId="KUMS-text">
    <w:name w:val="KUMS-text"/>
    <w:basedOn w:val="Zkladntext"/>
    <w:rsid w:val="00C732CB"/>
    <w:pPr>
      <w:suppressAutoHyphens w:val="0"/>
      <w:spacing w:after="280" w:line="280" w:lineRule="exact"/>
    </w:pPr>
    <w:rPr>
      <w:rFonts w:ascii="Tahoma" w:hAnsi="Tahoma" w:cs="Tahoma"/>
      <w:noProof/>
      <w:sz w:val="20"/>
      <w:szCs w:val="20"/>
      <w:lang w:eastAsia="cs-CZ"/>
    </w:rPr>
  </w:style>
  <w:style w:type="paragraph" w:customStyle="1" w:styleId="PFI-Zhlav">
    <w:name w:val="PFI-Záhlaví"/>
    <w:basedOn w:val="Zhlav"/>
    <w:qFormat/>
    <w:rsid w:val="00940436"/>
    <w:pPr>
      <w:jc w:val="left"/>
    </w:pPr>
    <w:rPr>
      <w:rFonts w:ascii="Liberation Sans Narrow" w:hAnsi="Liberation Sans Narrow"/>
    </w:rPr>
  </w:style>
  <w:style w:type="paragraph" w:customStyle="1" w:styleId="PFI-Zhlav-Nadpis-Bold">
    <w:name w:val="PFI-Záhlaví-Nadpis-Bold"/>
    <w:basedOn w:val="PFI-Zhlav"/>
    <w:qFormat/>
    <w:rsid w:val="00940436"/>
    <w:pPr>
      <w:jc w:val="center"/>
    </w:pPr>
    <w:rPr>
      <w:b/>
    </w:rPr>
  </w:style>
  <w:style w:type="paragraph" w:customStyle="1" w:styleId="PFI-Zhlav-Nadpis">
    <w:name w:val="PFI-Záhlaví-Nadpis"/>
    <w:basedOn w:val="PFI-Zhlav-Nadpis-Bold"/>
    <w:qFormat/>
    <w:rsid w:val="00940436"/>
    <w:rPr>
      <w:b w:val="0"/>
    </w:rPr>
  </w:style>
  <w:style w:type="character" w:styleId="Sledovanodkaz">
    <w:name w:val="FollowedHyperlink"/>
    <w:basedOn w:val="Standardnpsmoodstavce"/>
    <w:uiPriority w:val="99"/>
    <w:semiHidden/>
    <w:unhideWhenUsed/>
    <w:rsid w:val="00B72E65"/>
    <w:rPr>
      <w:color w:val="954F72" w:themeColor="followedHyperlink"/>
      <w:u w:val="single"/>
    </w:rPr>
  </w:style>
  <w:style w:type="character" w:customStyle="1" w:styleId="ZhlavChar">
    <w:name w:val="Záhlaví Char"/>
    <w:basedOn w:val="Standardnpsmoodstavce"/>
    <w:link w:val="Zhlav"/>
    <w:rsid w:val="009231A7"/>
    <w:rPr>
      <w:rFonts w:ascii="Arial" w:hAnsi="Arial"/>
      <w:lang w:eastAsia="ar-SA"/>
    </w:rPr>
  </w:style>
  <w:style w:type="character" w:styleId="Siln">
    <w:name w:val="Strong"/>
    <w:basedOn w:val="Standardnpsmoodstavce"/>
    <w:uiPriority w:val="22"/>
    <w:qFormat/>
    <w:rsid w:val="009F66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issm.justice.cz/" TargetMode="Externa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https://zakazky.muml.cz/profile_display_2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88247-36A8-4148-B902-423554591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22</Pages>
  <Words>8137</Words>
  <Characters>48014</Characters>
  <Application>Microsoft Office Word</Application>
  <DocSecurity>0</DocSecurity>
  <Lines>400</Lines>
  <Paragraphs>112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56039</CharactersWithSpaces>
  <SharedDoc>false</SharedDoc>
  <HLinks>
    <vt:vector size="72" baseType="variant">
      <vt:variant>
        <vt:i4>6422560</vt:i4>
      </vt:variant>
      <vt:variant>
        <vt:i4>72</vt:i4>
      </vt:variant>
      <vt:variant>
        <vt:i4>0</vt:i4>
      </vt:variant>
      <vt:variant>
        <vt:i4>5</vt:i4>
      </vt:variant>
      <vt:variant>
        <vt:lpwstr>https://ezak.kr-karlovarsky.cz/profile_display_630.html</vt:lpwstr>
      </vt:variant>
      <vt:variant>
        <vt:lpwstr/>
      </vt:variant>
      <vt:variant>
        <vt:i4>1048639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_Toc477447837</vt:lpwstr>
      </vt:variant>
      <vt:variant>
        <vt:i4>1048639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_Toc477447836</vt:lpwstr>
      </vt:variant>
      <vt:variant>
        <vt:i4>1048639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_Toc477447835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_Toc477447834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_Toc477447833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_Toc477447832</vt:lpwstr>
      </vt:variant>
      <vt:variant>
        <vt:i4>1048639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_Toc477447831</vt:lpwstr>
      </vt:variant>
      <vt:variant>
        <vt:i4>1048639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_Toc477447830</vt:lpwstr>
      </vt:variant>
      <vt:variant>
        <vt:i4>1114175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_Toc477447829</vt:lpwstr>
      </vt:variant>
      <vt:variant>
        <vt:i4>1114175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_Toc477447828</vt:lpwstr>
      </vt:variant>
      <vt:variant>
        <vt:i4>1114175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_Toc477447827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Špáda</dc:creator>
  <cp:keywords/>
  <dc:description/>
  <cp:lastModifiedBy>Karel Špáda</cp:lastModifiedBy>
  <cp:revision>5</cp:revision>
  <dcterms:created xsi:type="dcterms:W3CDTF">2018-08-08T08:58:00Z</dcterms:created>
  <dcterms:modified xsi:type="dcterms:W3CDTF">2018-08-08T11:50:00Z</dcterms:modified>
</cp:coreProperties>
</file>