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BD0D" w14:textId="66015C3A" w:rsidR="00C93123" w:rsidRPr="001C6269" w:rsidRDefault="00C93123" w:rsidP="009D09BB">
      <w:pPr>
        <w:jc w:val="center"/>
        <w:rPr>
          <w:rFonts w:cs="Arial"/>
          <w:b/>
          <w:sz w:val="24"/>
        </w:rPr>
      </w:pPr>
      <w:r w:rsidRPr="001C6269">
        <w:rPr>
          <w:rFonts w:cs="Arial"/>
          <w:b/>
          <w:sz w:val="24"/>
        </w:rPr>
        <w:t xml:space="preserve">Příloha č. </w:t>
      </w:r>
      <w:r w:rsidR="001C6269" w:rsidRPr="001C6269">
        <w:rPr>
          <w:rFonts w:cs="Arial"/>
          <w:b/>
          <w:sz w:val="24"/>
        </w:rPr>
        <w:t>6</w:t>
      </w:r>
      <w:r w:rsidR="00167CE5" w:rsidRPr="001C6269">
        <w:rPr>
          <w:rFonts w:cs="Arial"/>
          <w:b/>
          <w:sz w:val="24"/>
        </w:rPr>
        <w:t xml:space="preserve"> </w:t>
      </w:r>
      <w:r w:rsidRPr="001C6269">
        <w:rPr>
          <w:rFonts w:cs="Arial"/>
          <w:b/>
          <w:sz w:val="24"/>
        </w:rPr>
        <w:t xml:space="preserve">zadávací dokumentace ve veřejné zakázce </w:t>
      </w:r>
    </w:p>
    <w:p w14:paraId="01365AD1" w14:textId="60F6E658" w:rsidR="0055459C" w:rsidRPr="001C6269" w:rsidRDefault="0055459C" w:rsidP="0055459C">
      <w:pPr>
        <w:pStyle w:val="Nzev"/>
        <w:spacing w:before="0" w:after="120"/>
        <w:rPr>
          <w:sz w:val="24"/>
          <w:szCs w:val="24"/>
        </w:rPr>
      </w:pPr>
      <w:r w:rsidRPr="001C6269">
        <w:rPr>
          <w:sz w:val="24"/>
          <w:szCs w:val="24"/>
        </w:rPr>
        <w:t>„</w:t>
      </w:r>
      <w:r w:rsidR="00777DBE" w:rsidRPr="00880F3C">
        <w:rPr>
          <w:bCs/>
          <w:sz w:val="24"/>
          <w:szCs w:val="24"/>
        </w:rPr>
        <w:t>Portál občana</w:t>
      </w:r>
      <w:r w:rsidR="00777DBE" w:rsidRPr="00880F3C">
        <w:rPr>
          <w:b w:val="0"/>
          <w:bCs/>
          <w:sz w:val="24"/>
          <w:szCs w:val="24"/>
        </w:rPr>
        <w:t xml:space="preserve"> – </w:t>
      </w:r>
      <w:r w:rsidR="00777DBE" w:rsidRPr="00880F3C">
        <w:rPr>
          <w:bCs/>
          <w:sz w:val="24"/>
          <w:szCs w:val="24"/>
        </w:rPr>
        <w:t>rozšíření funkčnosti modulů K2,</w:t>
      </w:r>
      <w:r w:rsidR="00777DBE" w:rsidRPr="00880F3C">
        <w:rPr>
          <w:b w:val="0"/>
          <w:bCs/>
          <w:sz w:val="24"/>
          <w:szCs w:val="24"/>
        </w:rPr>
        <w:t xml:space="preserve"> </w:t>
      </w:r>
      <w:r w:rsidR="00777DBE" w:rsidRPr="00880F3C">
        <w:rPr>
          <w:bCs/>
          <w:sz w:val="24"/>
          <w:szCs w:val="24"/>
        </w:rPr>
        <w:t>K6 a K7</w:t>
      </w:r>
      <w:r w:rsidR="006301E4" w:rsidRPr="001C6269">
        <w:rPr>
          <w:bCs/>
          <w:sz w:val="24"/>
          <w:szCs w:val="18"/>
        </w:rPr>
        <w:t>“</w:t>
      </w:r>
    </w:p>
    <w:p w14:paraId="1D46B528" w14:textId="77777777" w:rsidR="00C93123" w:rsidRPr="001C6269" w:rsidRDefault="00C93123" w:rsidP="001E3056">
      <w:pPr>
        <w:rPr>
          <w:b/>
          <w:sz w:val="24"/>
        </w:rPr>
      </w:pPr>
    </w:p>
    <w:p w14:paraId="3CA07FF9" w14:textId="77777777" w:rsidR="00F445C4" w:rsidRPr="001C6269" w:rsidRDefault="00F445C4" w:rsidP="009D09BB">
      <w:pPr>
        <w:rPr>
          <w:b/>
          <w:sz w:val="24"/>
        </w:rPr>
      </w:pPr>
    </w:p>
    <w:p w14:paraId="745A3A86" w14:textId="6B893EC0" w:rsidR="00C93123" w:rsidRPr="00603876" w:rsidRDefault="001C6269" w:rsidP="009D09BB">
      <w:pPr>
        <w:jc w:val="center"/>
        <w:rPr>
          <w:b/>
          <w:sz w:val="28"/>
          <w:szCs w:val="28"/>
        </w:rPr>
      </w:pPr>
      <w:r w:rsidRPr="00603876">
        <w:rPr>
          <w:b/>
          <w:sz w:val="28"/>
          <w:szCs w:val="28"/>
        </w:rPr>
        <w:t>TECHNICKÁ SPECIFIKACE</w:t>
      </w:r>
    </w:p>
    <w:p w14:paraId="44841EB7" w14:textId="77777777" w:rsidR="00811EF9" w:rsidRDefault="00811EF9" w:rsidP="00D83922"/>
    <w:p w14:paraId="2E0A197F" w14:textId="77777777" w:rsidR="001C6269" w:rsidRDefault="001C6269" w:rsidP="00D83922"/>
    <w:p w14:paraId="7B71E1DC" w14:textId="77777777" w:rsidR="00777DBE" w:rsidRDefault="00777DBE">
      <w:pPr>
        <w:spacing w:before="0" w:after="0"/>
        <w:jc w:val="left"/>
        <w:rPr>
          <w:b/>
          <w:bCs/>
          <w:kern w:val="32"/>
          <w:sz w:val="24"/>
          <w:szCs w:val="28"/>
        </w:rPr>
      </w:pPr>
      <w:bookmarkStart w:id="0" w:name="_Ref151093780"/>
      <w:r>
        <w:rPr>
          <w:sz w:val="24"/>
          <w:szCs w:val="28"/>
        </w:rPr>
        <w:br w:type="page"/>
      </w:r>
    </w:p>
    <w:p w14:paraId="1B9B2C06" w14:textId="5E4E431F" w:rsidR="00D83922" w:rsidRPr="00A104BF" w:rsidRDefault="001C6269" w:rsidP="00A104BF">
      <w:pPr>
        <w:pStyle w:val="Nadpis1"/>
        <w:rPr>
          <w:sz w:val="24"/>
          <w:szCs w:val="28"/>
        </w:rPr>
      </w:pPr>
      <w:r w:rsidRPr="00A104BF">
        <w:rPr>
          <w:sz w:val="24"/>
          <w:szCs w:val="28"/>
        </w:rPr>
        <w:lastRenderedPageBreak/>
        <w:t>ZÁKLADNÍ SPECIFIKACE</w:t>
      </w:r>
      <w:bookmarkEnd w:id="0"/>
    </w:p>
    <w:p w14:paraId="3DEC299D" w14:textId="4BCDE015" w:rsidR="0047206D" w:rsidRPr="0047206D" w:rsidRDefault="0047206D" w:rsidP="0047206D">
      <w:r>
        <w:t xml:space="preserve">Předmětem plnění veřejné zakázky jsou dodávky včetně služeb (dále také jen „řešení“) – realizace </w:t>
      </w:r>
      <w:r w:rsidR="00C845B0">
        <w:t xml:space="preserve">rozšíření </w:t>
      </w:r>
      <w:r w:rsidR="001C6269">
        <w:t>P</w:t>
      </w:r>
      <w:r>
        <w:t>ortálu občana (dále také jen „</w:t>
      </w:r>
      <w:r w:rsidR="00C845B0">
        <w:t>portál občana</w:t>
      </w:r>
      <w:r>
        <w:t>" nebo „systém“). Součástí plnění je dále podpora provozu na dobu minimálně 60 měsíců po předání řešení do ostrého provozu. Řešení musí být navrženo tak, aby náklady na provoz systému byly co nejmenší.</w:t>
      </w:r>
    </w:p>
    <w:p w14:paraId="407BF428" w14:textId="28053B9C" w:rsidR="0047206D" w:rsidRDefault="0047206D" w:rsidP="0047206D">
      <w:r>
        <w:t>Předmětem plnění veřejné zakázky jsou zařízení a systémy uvedené v následující tabulce, včetně služeb (komodity).</w:t>
      </w:r>
    </w:p>
    <w:p w14:paraId="5C225838" w14:textId="1621702D" w:rsidR="00802160" w:rsidRDefault="00802160" w:rsidP="008021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6516"/>
        <w:gridCol w:w="1274"/>
      </w:tblGrid>
      <w:tr w:rsidR="00802160" w:rsidRPr="00A104BF" w14:paraId="615DCCD5" w14:textId="77777777" w:rsidTr="00802160">
        <w:trPr>
          <w:trHeight w:val="288"/>
        </w:trPr>
        <w:tc>
          <w:tcPr>
            <w:tcW w:w="701" w:type="pct"/>
            <w:shd w:val="clear" w:color="auto" w:fill="BFBFBF" w:themeFill="background1" w:themeFillShade="BF"/>
            <w:tcMar>
              <w:top w:w="0" w:type="dxa"/>
              <w:left w:w="70" w:type="dxa"/>
              <w:bottom w:w="0" w:type="dxa"/>
              <w:right w:w="70" w:type="dxa"/>
            </w:tcMar>
            <w:vAlign w:val="center"/>
          </w:tcPr>
          <w:p w14:paraId="1EAC3BB2" w14:textId="302E98FF" w:rsidR="00802160" w:rsidRPr="00A104BF" w:rsidRDefault="00802160" w:rsidP="00802160">
            <w:pPr>
              <w:spacing w:before="60" w:after="60"/>
              <w:jc w:val="center"/>
              <w:rPr>
                <w:rFonts w:cs="Arial"/>
                <w:b/>
                <w:bCs/>
                <w:color w:val="000000"/>
                <w:szCs w:val="20"/>
              </w:rPr>
            </w:pPr>
            <w:r>
              <w:rPr>
                <w:rFonts w:cs="Arial"/>
                <w:b/>
                <w:bCs/>
                <w:color w:val="000000"/>
                <w:szCs w:val="20"/>
              </w:rPr>
              <w:t>Označení</w:t>
            </w:r>
          </w:p>
        </w:tc>
        <w:tc>
          <w:tcPr>
            <w:tcW w:w="3596" w:type="pct"/>
            <w:shd w:val="clear" w:color="auto" w:fill="BFBFBF" w:themeFill="background1" w:themeFillShade="BF"/>
            <w:vAlign w:val="center"/>
          </w:tcPr>
          <w:p w14:paraId="6932DD47" w14:textId="73EA72BC" w:rsidR="00802160" w:rsidRPr="00A104BF" w:rsidRDefault="00802160" w:rsidP="00802160">
            <w:pPr>
              <w:spacing w:before="60" w:after="60"/>
              <w:ind w:left="146"/>
              <w:rPr>
                <w:rFonts w:cs="Arial"/>
                <w:b/>
                <w:bCs/>
                <w:color w:val="000000"/>
                <w:szCs w:val="20"/>
              </w:rPr>
            </w:pPr>
            <w:r>
              <w:rPr>
                <w:rFonts w:cs="Arial"/>
                <w:b/>
                <w:bCs/>
                <w:color w:val="000000"/>
                <w:szCs w:val="20"/>
              </w:rPr>
              <w:t>Komodita (předmět plnění VZ)</w:t>
            </w:r>
          </w:p>
        </w:tc>
        <w:tc>
          <w:tcPr>
            <w:tcW w:w="703" w:type="pct"/>
            <w:shd w:val="clear" w:color="auto" w:fill="BFBFBF" w:themeFill="background1" w:themeFillShade="BF"/>
            <w:tcMar>
              <w:top w:w="0" w:type="dxa"/>
              <w:left w:w="70" w:type="dxa"/>
              <w:bottom w:w="0" w:type="dxa"/>
              <w:right w:w="70" w:type="dxa"/>
            </w:tcMar>
            <w:vAlign w:val="center"/>
          </w:tcPr>
          <w:p w14:paraId="7D2DCEA7" w14:textId="3EDB877F" w:rsidR="00802160" w:rsidRPr="00A104BF" w:rsidRDefault="00802160" w:rsidP="00897BF6">
            <w:pPr>
              <w:spacing w:before="60" w:after="60"/>
              <w:jc w:val="center"/>
              <w:rPr>
                <w:rFonts w:cs="Arial"/>
                <w:b/>
                <w:bCs/>
                <w:color w:val="000000"/>
                <w:szCs w:val="20"/>
              </w:rPr>
            </w:pPr>
            <w:r>
              <w:rPr>
                <w:rFonts w:cs="Arial"/>
                <w:b/>
                <w:bCs/>
                <w:color w:val="000000"/>
                <w:szCs w:val="20"/>
              </w:rPr>
              <w:t>Počet</w:t>
            </w:r>
          </w:p>
        </w:tc>
      </w:tr>
      <w:tr w:rsidR="00640838" w:rsidRPr="00A104BF" w14:paraId="63D8B443" w14:textId="77777777" w:rsidTr="00802160">
        <w:trPr>
          <w:trHeight w:val="288"/>
        </w:trPr>
        <w:tc>
          <w:tcPr>
            <w:tcW w:w="701" w:type="pct"/>
            <w:tcMar>
              <w:top w:w="0" w:type="dxa"/>
              <w:left w:w="70" w:type="dxa"/>
              <w:bottom w:w="0" w:type="dxa"/>
              <w:right w:w="70" w:type="dxa"/>
            </w:tcMar>
            <w:vAlign w:val="center"/>
          </w:tcPr>
          <w:p w14:paraId="7F92F167" w14:textId="605D11AA" w:rsidR="00640838" w:rsidRPr="00802160" w:rsidRDefault="00640838" w:rsidP="00640838">
            <w:pPr>
              <w:spacing w:before="60" w:after="60"/>
              <w:jc w:val="center"/>
              <w:rPr>
                <w:rFonts w:cs="Arial"/>
                <w:color w:val="000000"/>
                <w:szCs w:val="20"/>
              </w:rPr>
            </w:pPr>
            <w:r>
              <w:rPr>
                <w:rFonts w:cs="Arial"/>
                <w:szCs w:val="20"/>
              </w:rPr>
              <w:t>A15</w:t>
            </w:r>
          </w:p>
        </w:tc>
        <w:tc>
          <w:tcPr>
            <w:tcW w:w="3596" w:type="pct"/>
            <w:vAlign w:val="center"/>
          </w:tcPr>
          <w:p w14:paraId="4343EF22" w14:textId="77380E97" w:rsidR="00640838" w:rsidRPr="00802160" w:rsidRDefault="00640838" w:rsidP="00640838">
            <w:pPr>
              <w:spacing w:before="60" w:after="60"/>
              <w:ind w:left="146"/>
              <w:rPr>
                <w:rFonts w:cs="Arial"/>
                <w:color w:val="000000"/>
                <w:szCs w:val="20"/>
              </w:rPr>
            </w:pPr>
            <w:r>
              <w:rPr>
                <w:rFonts w:cs="Arial"/>
                <w:color w:val="000000"/>
                <w:szCs w:val="20"/>
              </w:rPr>
              <w:t>Rozšíření modulu K2 – elektronická fakturace</w:t>
            </w:r>
          </w:p>
        </w:tc>
        <w:tc>
          <w:tcPr>
            <w:tcW w:w="703" w:type="pct"/>
            <w:noWrap/>
            <w:tcMar>
              <w:top w:w="0" w:type="dxa"/>
              <w:left w:w="70" w:type="dxa"/>
              <w:bottom w:w="0" w:type="dxa"/>
              <w:right w:w="70" w:type="dxa"/>
            </w:tcMar>
            <w:vAlign w:val="center"/>
          </w:tcPr>
          <w:p w14:paraId="2039C8CA" w14:textId="0A5664DC" w:rsidR="00640838" w:rsidRPr="00A104BF" w:rsidRDefault="00640838" w:rsidP="00640838">
            <w:pPr>
              <w:spacing w:before="60" w:after="60"/>
              <w:jc w:val="center"/>
              <w:rPr>
                <w:rFonts w:cs="Arial"/>
                <w:color w:val="000000"/>
                <w:szCs w:val="20"/>
              </w:rPr>
            </w:pPr>
            <w:r>
              <w:rPr>
                <w:rFonts w:cs="Arial"/>
                <w:color w:val="000000"/>
                <w:szCs w:val="20"/>
              </w:rPr>
              <w:t>1</w:t>
            </w:r>
          </w:p>
        </w:tc>
      </w:tr>
      <w:tr w:rsidR="00640838" w:rsidRPr="00A104BF" w14:paraId="372BFB0E" w14:textId="77777777" w:rsidTr="00897BF6">
        <w:trPr>
          <w:trHeight w:val="288"/>
        </w:trPr>
        <w:tc>
          <w:tcPr>
            <w:tcW w:w="701" w:type="pct"/>
            <w:tcMar>
              <w:top w:w="0" w:type="dxa"/>
              <w:left w:w="70" w:type="dxa"/>
              <w:bottom w:w="0" w:type="dxa"/>
              <w:right w:w="70" w:type="dxa"/>
            </w:tcMar>
            <w:vAlign w:val="center"/>
          </w:tcPr>
          <w:p w14:paraId="614EF764" w14:textId="43C93D36" w:rsidR="00640838" w:rsidRPr="00802160" w:rsidRDefault="00640838" w:rsidP="00640838">
            <w:pPr>
              <w:spacing w:before="60" w:after="60"/>
              <w:jc w:val="center"/>
              <w:rPr>
                <w:rFonts w:cs="Arial"/>
                <w:color w:val="000000"/>
                <w:szCs w:val="20"/>
              </w:rPr>
            </w:pPr>
            <w:r>
              <w:rPr>
                <w:rFonts w:cs="Arial"/>
                <w:szCs w:val="20"/>
              </w:rPr>
              <w:t>A16</w:t>
            </w:r>
          </w:p>
        </w:tc>
        <w:tc>
          <w:tcPr>
            <w:tcW w:w="3596" w:type="pct"/>
            <w:vAlign w:val="center"/>
          </w:tcPr>
          <w:p w14:paraId="03C9D7F5" w14:textId="7798692C" w:rsidR="00640838" w:rsidRPr="00802160" w:rsidRDefault="00640838" w:rsidP="00640838">
            <w:pPr>
              <w:spacing w:before="60" w:after="60"/>
              <w:ind w:left="146"/>
              <w:rPr>
                <w:rFonts w:cs="Arial"/>
                <w:color w:val="000000"/>
                <w:szCs w:val="20"/>
              </w:rPr>
            </w:pPr>
            <w:r>
              <w:rPr>
                <w:rFonts w:cs="Arial"/>
                <w:color w:val="000000"/>
                <w:szCs w:val="20"/>
              </w:rPr>
              <w:t>Rozšíření modulu K2 – automatizované zpracování</w:t>
            </w:r>
            <w:r w:rsidR="009E508B">
              <w:rPr>
                <w:rFonts w:cs="Arial"/>
                <w:color w:val="000000"/>
                <w:szCs w:val="20"/>
              </w:rPr>
              <w:t xml:space="preserve"> </w:t>
            </w:r>
            <w:r w:rsidR="009E508B">
              <w:t>dokumentů</w:t>
            </w:r>
          </w:p>
        </w:tc>
        <w:tc>
          <w:tcPr>
            <w:tcW w:w="703" w:type="pct"/>
            <w:noWrap/>
            <w:tcMar>
              <w:top w:w="0" w:type="dxa"/>
              <w:left w:w="70" w:type="dxa"/>
              <w:bottom w:w="0" w:type="dxa"/>
              <w:right w:w="70" w:type="dxa"/>
            </w:tcMar>
            <w:vAlign w:val="center"/>
          </w:tcPr>
          <w:p w14:paraId="716E7FDB" w14:textId="3F1F5A0F" w:rsidR="00640838" w:rsidRPr="00A104BF" w:rsidRDefault="00640838" w:rsidP="00640838">
            <w:pPr>
              <w:spacing w:before="60" w:after="60"/>
              <w:jc w:val="center"/>
              <w:rPr>
                <w:rFonts w:cs="Arial"/>
                <w:color w:val="000000"/>
                <w:szCs w:val="20"/>
              </w:rPr>
            </w:pPr>
            <w:r>
              <w:rPr>
                <w:rFonts w:cs="Arial"/>
                <w:color w:val="000000"/>
                <w:szCs w:val="20"/>
              </w:rPr>
              <w:t>1</w:t>
            </w:r>
          </w:p>
        </w:tc>
      </w:tr>
      <w:tr w:rsidR="00640838" w:rsidRPr="00A104BF" w14:paraId="2B220AE1" w14:textId="77777777" w:rsidTr="00802160">
        <w:trPr>
          <w:trHeight w:val="288"/>
        </w:trPr>
        <w:tc>
          <w:tcPr>
            <w:tcW w:w="701" w:type="pct"/>
            <w:tcMar>
              <w:top w:w="0" w:type="dxa"/>
              <w:left w:w="70" w:type="dxa"/>
              <w:bottom w:w="0" w:type="dxa"/>
              <w:right w:w="70" w:type="dxa"/>
            </w:tcMar>
            <w:vAlign w:val="center"/>
          </w:tcPr>
          <w:p w14:paraId="0B88681A" w14:textId="0A874E78" w:rsidR="00640838" w:rsidRPr="00802160" w:rsidRDefault="00640838" w:rsidP="00640838">
            <w:pPr>
              <w:spacing w:before="60" w:after="60"/>
              <w:jc w:val="center"/>
              <w:rPr>
                <w:rFonts w:cs="Arial"/>
                <w:color w:val="000000"/>
                <w:szCs w:val="20"/>
              </w:rPr>
            </w:pPr>
            <w:r>
              <w:rPr>
                <w:rFonts w:cs="Arial"/>
                <w:szCs w:val="20"/>
              </w:rPr>
              <w:t>A17</w:t>
            </w:r>
          </w:p>
        </w:tc>
        <w:tc>
          <w:tcPr>
            <w:tcW w:w="3596" w:type="pct"/>
            <w:vAlign w:val="center"/>
          </w:tcPr>
          <w:p w14:paraId="0B0E674B" w14:textId="27DE97AE" w:rsidR="00640838" w:rsidRPr="00802160" w:rsidRDefault="00640838" w:rsidP="00640838">
            <w:pPr>
              <w:spacing w:before="60" w:after="60"/>
              <w:ind w:left="146"/>
              <w:rPr>
                <w:rFonts w:cs="Arial"/>
                <w:color w:val="000000"/>
                <w:szCs w:val="20"/>
              </w:rPr>
            </w:pPr>
            <w:r>
              <w:rPr>
                <w:rFonts w:cs="Arial"/>
                <w:color w:val="000000"/>
                <w:szCs w:val="20"/>
              </w:rPr>
              <w:t>Rozšíření modulu K2 – strojové učení</w:t>
            </w:r>
          </w:p>
        </w:tc>
        <w:tc>
          <w:tcPr>
            <w:tcW w:w="703" w:type="pct"/>
            <w:noWrap/>
            <w:tcMar>
              <w:top w:w="0" w:type="dxa"/>
              <w:left w:w="70" w:type="dxa"/>
              <w:bottom w:w="0" w:type="dxa"/>
              <w:right w:w="70" w:type="dxa"/>
            </w:tcMar>
            <w:vAlign w:val="center"/>
          </w:tcPr>
          <w:p w14:paraId="429D646A" w14:textId="3DE3345D" w:rsidR="00640838" w:rsidRPr="00A104BF" w:rsidRDefault="00640838" w:rsidP="00640838">
            <w:pPr>
              <w:spacing w:before="60" w:after="60"/>
              <w:jc w:val="center"/>
              <w:rPr>
                <w:rFonts w:cs="Arial"/>
                <w:color w:val="000000"/>
                <w:szCs w:val="20"/>
              </w:rPr>
            </w:pPr>
            <w:r>
              <w:rPr>
                <w:rFonts w:cs="Arial"/>
                <w:color w:val="000000"/>
                <w:szCs w:val="20"/>
              </w:rPr>
              <w:t>1</w:t>
            </w:r>
          </w:p>
        </w:tc>
      </w:tr>
      <w:tr w:rsidR="00640838" w:rsidRPr="00A104BF" w14:paraId="0977AD71" w14:textId="77777777" w:rsidTr="00802160">
        <w:trPr>
          <w:trHeight w:val="288"/>
        </w:trPr>
        <w:tc>
          <w:tcPr>
            <w:tcW w:w="701" w:type="pct"/>
            <w:tcMar>
              <w:top w:w="0" w:type="dxa"/>
              <w:left w:w="70" w:type="dxa"/>
              <w:bottom w:w="0" w:type="dxa"/>
              <w:right w:w="70" w:type="dxa"/>
            </w:tcMar>
            <w:vAlign w:val="center"/>
          </w:tcPr>
          <w:p w14:paraId="66007909" w14:textId="0C83BB90" w:rsidR="00640838" w:rsidRPr="00802160" w:rsidRDefault="00640838" w:rsidP="00640838">
            <w:pPr>
              <w:spacing w:before="60" w:after="60"/>
              <w:jc w:val="center"/>
              <w:rPr>
                <w:rFonts w:cs="Arial"/>
                <w:color w:val="000000"/>
                <w:szCs w:val="20"/>
              </w:rPr>
            </w:pPr>
            <w:r>
              <w:rPr>
                <w:rFonts w:cs="Arial"/>
                <w:szCs w:val="20"/>
              </w:rPr>
              <w:t>A18</w:t>
            </w:r>
          </w:p>
        </w:tc>
        <w:tc>
          <w:tcPr>
            <w:tcW w:w="3596" w:type="pct"/>
            <w:vAlign w:val="center"/>
          </w:tcPr>
          <w:p w14:paraId="3B3049FA" w14:textId="08E02C15" w:rsidR="00640838" w:rsidRPr="0047206D" w:rsidRDefault="00640838" w:rsidP="00640838">
            <w:pPr>
              <w:spacing w:before="60" w:after="60"/>
              <w:ind w:left="146"/>
              <w:rPr>
                <w:rFonts w:cs="Arial"/>
                <w:color w:val="000000"/>
                <w:szCs w:val="20"/>
              </w:rPr>
            </w:pPr>
            <w:r>
              <w:rPr>
                <w:rFonts w:cs="Arial"/>
                <w:color w:val="000000"/>
                <w:szCs w:val="20"/>
              </w:rPr>
              <w:t>Rozšíření modulu K2 – rozpoznávání faktur</w:t>
            </w:r>
          </w:p>
        </w:tc>
        <w:tc>
          <w:tcPr>
            <w:tcW w:w="703" w:type="pct"/>
            <w:noWrap/>
            <w:tcMar>
              <w:top w:w="0" w:type="dxa"/>
              <w:left w:w="70" w:type="dxa"/>
              <w:bottom w:w="0" w:type="dxa"/>
              <w:right w:w="70" w:type="dxa"/>
            </w:tcMar>
            <w:vAlign w:val="center"/>
          </w:tcPr>
          <w:p w14:paraId="4692D163" w14:textId="2F1C3299" w:rsidR="00640838" w:rsidRDefault="00640838" w:rsidP="00640838">
            <w:pPr>
              <w:spacing w:before="60" w:after="60"/>
              <w:jc w:val="center"/>
              <w:rPr>
                <w:rFonts w:cs="Arial"/>
                <w:color w:val="000000"/>
                <w:szCs w:val="20"/>
              </w:rPr>
            </w:pPr>
            <w:r>
              <w:rPr>
                <w:rFonts w:cs="Arial"/>
                <w:color w:val="000000"/>
                <w:szCs w:val="20"/>
              </w:rPr>
              <w:t>1</w:t>
            </w:r>
          </w:p>
        </w:tc>
      </w:tr>
      <w:tr w:rsidR="00640838" w:rsidRPr="00A104BF" w14:paraId="471CEDA8" w14:textId="77777777" w:rsidTr="00802160">
        <w:trPr>
          <w:trHeight w:val="288"/>
        </w:trPr>
        <w:tc>
          <w:tcPr>
            <w:tcW w:w="701" w:type="pct"/>
            <w:tcMar>
              <w:top w:w="0" w:type="dxa"/>
              <w:left w:w="70" w:type="dxa"/>
              <w:bottom w:w="0" w:type="dxa"/>
              <w:right w:w="70" w:type="dxa"/>
            </w:tcMar>
            <w:vAlign w:val="center"/>
          </w:tcPr>
          <w:p w14:paraId="6E9A4E00" w14:textId="6057E910" w:rsidR="00640838" w:rsidRPr="00802160" w:rsidRDefault="00640838" w:rsidP="00640838">
            <w:pPr>
              <w:spacing w:before="60" w:after="60"/>
              <w:jc w:val="center"/>
              <w:rPr>
                <w:rFonts w:cs="Arial"/>
                <w:color w:val="000000"/>
                <w:szCs w:val="20"/>
              </w:rPr>
            </w:pPr>
            <w:r>
              <w:rPr>
                <w:rFonts w:cs="Arial"/>
                <w:szCs w:val="20"/>
              </w:rPr>
              <w:t>A19</w:t>
            </w:r>
          </w:p>
        </w:tc>
        <w:tc>
          <w:tcPr>
            <w:tcW w:w="3596" w:type="pct"/>
            <w:vAlign w:val="center"/>
          </w:tcPr>
          <w:p w14:paraId="30AF58FA" w14:textId="184A8A2E" w:rsidR="00640838" w:rsidRPr="0047206D" w:rsidRDefault="00640838" w:rsidP="00640838">
            <w:pPr>
              <w:spacing w:before="60" w:after="60"/>
              <w:ind w:left="146"/>
              <w:rPr>
                <w:rFonts w:cs="Arial"/>
                <w:color w:val="000000"/>
                <w:szCs w:val="20"/>
              </w:rPr>
            </w:pPr>
            <w:r>
              <w:rPr>
                <w:rFonts w:cs="Arial"/>
                <w:color w:val="000000"/>
                <w:szCs w:val="20"/>
              </w:rPr>
              <w:t>Rozšíření modulu K6 – úkoly</w:t>
            </w:r>
          </w:p>
        </w:tc>
        <w:tc>
          <w:tcPr>
            <w:tcW w:w="703" w:type="pct"/>
            <w:noWrap/>
            <w:tcMar>
              <w:top w:w="0" w:type="dxa"/>
              <w:left w:w="70" w:type="dxa"/>
              <w:bottom w:w="0" w:type="dxa"/>
              <w:right w:w="70" w:type="dxa"/>
            </w:tcMar>
            <w:vAlign w:val="center"/>
          </w:tcPr>
          <w:p w14:paraId="51F535C7" w14:textId="53D4E3A3" w:rsidR="00640838" w:rsidRDefault="00640838" w:rsidP="00640838">
            <w:pPr>
              <w:spacing w:before="60" w:after="60"/>
              <w:jc w:val="center"/>
              <w:rPr>
                <w:rFonts w:cs="Arial"/>
                <w:color w:val="000000"/>
                <w:szCs w:val="20"/>
              </w:rPr>
            </w:pPr>
            <w:r>
              <w:rPr>
                <w:rFonts w:cs="Arial"/>
                <w:color w:val="000000"/>
                <w:szCs w:val="20"/>
              </w:rPr>
              <w:t>1</w:t>
            </w:r>
          </w:p>
        </w:tc>
      </w:tr>
      <w:tr w:rsidR="00640838" w:rsidRPr="00A104BF" w14:paraId="0699DB41" w14:textId="77777777" w:rsidTr="00802160">
        <w:trPr>
          <w:trHeight w:val="288"/>
        </w:trPr>
        <w:tc>
          <w:tcPr>
            <w:tcW w:w="701" w:type="pct"/>
            <w:tcMar>
              <w:top w:w="0" w:type="dxa"/>
              <w:left w:w="70" w:type="dxa"/>
              <w:bottom w:w="0" w:type="dxa"/>
              <w:right w:w="70" w:type="dxa"/>
            </w:tcMar>
            <w:vAlign w:val="center"/>
          </w:tcPr>
          <w:p w14:paraId="246ECF0C" w14:textId="5A79756A" w:rsidR="00640838" w:rsidRPr="00802160" w:rsidRDefault="00640838" w:rsidP="00640838">
            <w:pPr>
              <w:spacing w:before="60" w:after="60"/>
              <w:jc w:val="center"/>
              <w:rPr>
                <w:rFonts w:cs="Arial"/>
                <w:color w:val="000000"/>
                <w:szCs w:val="20"/>
              </w:rPr>
            </w:pPr>
            <w:r>
              <w:rPr>
                <w:rFonts w:cs="Arial"/>
                <w:szCs w:val="20"/>
              </w:rPr>
              <w:t>A20</w:t>
            </w:r>
          </w:p>
        </w:tc>
        <w:tc>
          <w:tcPr>
            <w:tcW w:w="3596" w:type="pct"/>
            <w:vAlign w:val="center"/>
          </w:tcPr>
          <w:p w14:paraId="4A09C1AC" w14:textId="6ADFACF6" w:rsidR="00640838" w:rsidRPr="0047206D" w:rsidRDefault="00640838" w:rsidP="00640838">
            <w:pPr>
              <w:spacing w:before="60" w:after="60"/>
              <w:ind w:left="146"/>
              <w:rPr>
                <w:rFonts w:cs="Arial"/>
                <w:color w:val="000000"/>
                <w:szCs w:val="20"/>
              </w:rPr>
            </w:pPr>
            <w:r>
              <w:rPr>
                <w:rFonts w:cs="Arial"/>
                <w:color w:val="000000"/>
                <w:szCs w:val="20"/>
              </w:rPr>
              <w:t>Rozšíření modulu K7 – datový sklad</w:t>
            </w:r>
          </w:p>
        </w:tc>
        <w:tc>
          <w:tcPr>
            <w:tcW w:w="703" w:type="pct"/>
            <w:noWrap/>
            <w:tcMar>
              <w:top w:w="0" w:type="dxa"/>
              <w:left w:w="70" w:type="dxa"/>
              <w:bottom w:w="0" w:type="dxa"/>
              <w:right w:w="70" w:type="dxa"/>
            </w:tcMar>
            <w:vAlign w:val="center"/>
          </w:tcPr>
          <w:p w14:paraId="7357B3CE" w14:textId="2169D2CD" w:rsidR="00640838" w:rsidRDefault="00640838" w:rsidP="00640838">
            <w:pPr>
              <w:spacing w:before="60" w:after="60"/>
              <w:jc w:val="center"/>
              <w:rPr>
                <w:rFonts w:cs="Arial"/>
                <w:color w:val="000000"/>
                <w:szCs w:val="20"/>
              </w:rPr>
            </w:pPr>
            <w:r>
              <w:rPr>
                <w:rFonts w:cs="Arial"/>
                <w:color w:val="000000"/>
                <w:szCs w:val="20"/>
              </w:rPr>
              <w:t>1</w:t>
            </w:r>
          </w:p>
        </w:tc>
      </w:tr>
    </w:tbl>
    <w:p w14:paraId="40EF8FD9" w14:textId="77777777" w:rsidR="00802160" w:rsidRDefault="00802160" w:rsidP="00802160"/>
    <w:p w14:paraId="287D3FD7" w14:textId="3FA913DD" w:rsidR="00802160" w:rsidRPr="00833402" w:rsidRDefault="001C6269" w:rsidP="00802160">
      <w:pPr>
        <w:pStyle w:val="Nadpis1"/>
      </w:pPr>
      <w:bookmarkStart w:id="1" w:name="_Ref495429581"/>
      <w:r w:rsidRPr="00833402">
        <w:t>POPIS VÝCHOZÍHO STAVU</w:t>
      </w:r>
      <w:bookmarkEnd w:id="1"/>
    </w:p>
    <w:p w14:paraId="6806D386" w14:textId="77777777" w:rsidR="00802160" w:rsidRPr="00833402" w:rsidRDefault="00802160" w:rsidP="00802160">
      <w:pPr>
        <w:pStyle w:val="Nadpis2"/>
      </w:pPr>
      <w:r w:rsidRPr="00833402">
        <w:t>Popis organizace a její členění</w:t>
      </w:r>
    </w:p>
    <w:p w14:paraId="68EDB343" w14:textId="2E83746F" w:rsidR="00802160" w:rsidRPr="00CD491E" w:rsidRDefault="0047206D" w:rsidP="00802160">
      <w:r>
        <w:t xml:space="preserve">Organizace Město Mariánské Lázně (dále Město) sídlí v Městském úřadě Mariánské Lázně (dále MÚ), kde pracuje většina zaměstnanců a je zde umístěná významná část IT technologií. Město je zřizovatelem organizací v oblasti kultury, dopravy, školství a sociální.  </w:t>
      </w:r>
    </w:p>
    <w:p w14:paraId="02030DA6" w14:textId="77777777" w:rsidR="00802160" w:rsidRPr="00833402" w:rsidRDefault="00802160" w:rsidP="00802160">
      <w:pPr>
        <w:pStyle w:val="Nadpis2"/>
      </w:pPr>
      <w:r w:rsidRPr="00833402">
        <w:t>Popis lokalit</w:t>
      </w:r>
    </w:p>
    <w:p w14:paraId="070357DA" w14:textId="77777777" w:rsidR="0047206D" w:rsidRPr="0047206D" w:rsidRDefault="0047206D" w:rsidP="0047206D">
      <w:r>
        <w:t xml:space="preserve">Z pohledu IT je pro Město nejvýznamnější lokalitou MÚ budova Město Mariánské Lázně, Ruská 155, 353 01 Mariánské Lázně. V této lokalitě jsou umístěny ICT technologie a v této lokalitě bude realizován projekt. </w:t>
      </w:r>
    </w:p>
    <w:p w14:paraId="264DEE6F" w14:textId="77777777" w:rsidR="0047206D" w:rsidRDefault="0047206D" w:rsidP="0047206D">
      <w:r>
        <w:t xml:space="preserve">ICT infrastruktura je technicky i provozně navržena, vybudována a provozována pro poskytování ICT služeb Města. </w:t>
      </w:r>
      <w:r w:rsidRPr="0047206D">
        <w:t>Organizace provozuje IT systémy v pěti lokalitách:</w:t>
      </w:r>
    </w:p>
    <w:p w14:paraId="16C0E08F" w14:textId="77777777" w:rsidR="0047206D" w:rsidRPr="0047206D" w:rsidRDefault="0047206D" w:rsidP="00781B87">
      <w:pPr>
        <w:pStyle w:val="Odstavecseseznamem"/>
        <w:numPr>
          <w:ilvl w:val="0"/>
          <w:numId w:val="9"/>
        </w:numPr>
        <w:spacing w:before="60" w:after="60"/>
        <w:ind w:left="714" w:hanging="357"/>
        <w:contextualSpacing w:val="0"/>
      </w:pPr>
      <w:r w:rsidRPr="0047206D">
        <w:t>Lokalita A – Budova Ruská 74</w:t>
      </w:r>
    </w:p>
    <w:p w14:paraId="00738553" w14:textId="77777777" w:rsidR="0047206D" w:rsidRPr="0047206D" w:rsidRDefault="0047206D" w:rsidP="00781B87">
      <w:pPr>
        <w:pStyle w:val="Odstavecseseznamem"/>
        <w:numPr>
          <w:ilvl w:val="0"/>
          <w:numId w:val="9"/>
        </w:numPr>
        <w:spacing w:before="60" w:after="60"/>
        <w:ind w:left="714" w:hanging="357"/>
        <w:contextualSpacing w:val="0"/>
      </w:pPr>
      <w:r w:rsidRPr="0047206D">
        <w:t>Lokalita B – Budova 17.listopadu 474</w:t>
      </w:r>
    </w:p>
    <w:p w14:paraId="6ACE7D8B" w14:textId="77777777" w:rsidR="0047206D" w:rsidRPr="0047206D" w:rsidRDefault="0047206D" w:rsidP="00781B87">
      <w:pPr>
        <w:pStyle w:val="Odstavecseseznamem"/>
        <w:numPr>
          <w:ilvl w:val="0"/>
          <w:numId w:val="9"/>
        </w:numPr>
        <w:spacing w:before="60" w:after="60"/>
        <w:ind w:left="714" w:hanging="357"/>
        <w:contextualSpacing w:val="0"/>
      </w:pPr>
      <w:r w:rsidRPr="0047206D">
        <w:t>Lokalita C – Budova Hlavní 664</w:t>
      </w:r>
    </w:p>
    <w:p w14:paraId="0EB326C6" w14:textId="77777777" w:rsidR="0047206D" w:rsidRPr="0047206D" w:rsidRDefault="0047206D" w:rsidP="00781B87">
      <w:pPr>
        <w:pStyle w:val="Odstavecseseznamem"/>
        <w:numPr>
          <w:ilvl w:val="0"/>
          <w:numId w:val="9"/>
        </w:numPr>
        <w:spacing w:before="60" w:after="60"/>
        <w:ind w:left="714" w:hanging="357"/>
        <w:contextualSpacing w:val="0"/>
      </w:pPr>
      <w:r w:rsidRPr="0047206D">
        <w:t>Lokalita D – Budova Příčná 647</w:t>
      </w:r>
    </w:p>
    <w:p w14:paraId="2B3160E2" w14:textId="09E340E4" w:rsidR="0047206D" w:rsidRDefault="0047206D" w:rsidP="00781B87">
      <w:pPr>
        <w:pStyle w:val="Odstavecseseznamem"/>
        <w:numPr>
          <w:ilvl w:val="0"/>
          <w:numId w:val="9"/>
        </w:numPr>
        <w:spacing w:before="60" w:after="60"/>
        <w:ind w:left="714" w:hanging="357"/>
        <w:contextualSpacing w:val="0"/>
      </w:pPr>
      <w:r w:rsidRPr="0047206D">
        <w:t>Lokalita E – Budova Tepelská 752</w:t>
      </w:r>
    </w:p>
    <w:p w14:paraId="01E178A0" w14:textId="77777777" w:rsidR="001C6269" w:rsidRDefault="001C6269" w:rsidP="001C6269">
      <w:pPr>
        <w:spacing w:before="60" w:after="60"/>
      </w:pPr>
    </w:p>
    <w:p w14:paraId="297E543F" w14:textId="1C0D7CE0" w:rsidR="00802160" w:rsidRPr="00833402" w:rsidRDefault="00802160" w:rsidP="00802160">
      <w:pPr>
        <w:pStyle w:val="Nadpis2"/>
      </w:pPr>
      <w:r w:rsidRPr="00833402">
        <w:t>Popis stávajícího HW prostředí</w:t>
      </w:r>
    </w:p>
    <w:p w14:paraId="062F1F38" w14:textId="77777777" w:rsidR="0047206D" w:rsidRPr="0047206D" w:rsidRDefault="0047206D" w:rsidP="0047206D">
      <w:r>
        <w:t>Hlavní technologická místnost (serverovna) je umístěna v 1. podlaží v lokalitě A. V ostatních budovách jsou technologické místnost s datovými rozvaděči (racky).</w:t>
      </w:r>
    </w:p>
    <w:p w14:paraId="58CD5114" w14:textId="77777777" w:rsidR="0047206D" w:rsidRDefault="0047206D" w:rsidP="0047206D">
      <w:r>
        <w:t xml:space="preserve">Hlavní síťové prvky jsou redundantní a zajištují komunikaci serverů a diskových úložišť rychlostí 10 </w:t>
      </w:r>
      <w:proofErr w:type="spellStart"/>
      <w:r>
        <w:t>Gbit</w:t>
      </w:r>
      <w:proofErr w:type="spellEnd"/>
      <w:r>
        <w:t xml:space="preserve">. Ostatní systémy včetně koncových zařízení jsou do sítě připojeny rychlostí 1 </w:t>
      </w:r>
      <w:proofErr w:type="spellStart"/>
      <w:r>
        <w:t>Gb</w:t>
      </w:r>
      <w:proofErr w:type="spellEnd"/>
      <w:r>
        <w:t xml:space="preserve">. </w:t>
      </w:r>
    </w:p>
    <w:p w14:paraId="57AC4CC6" w14:textId="546E8D06" w:rsidR="0047206D" w:rsidRDefault="0047206D" w:rsidP="0047206D">
      <w:r>
        <w:t>Současná virtualizační platforma je sestavena ze 2 serverů –</w:t>
      </w:r>
      <w:r w:rsidR="009C0217">
        <w:t xml:space="preserve"> </w:t>
      </w:r>
      <w:r w:rsidR="0010445C">
        <w:t xml:space="preserve">každý 1 TB RAM, 960 GB </w:t>
      </w:r>
      <w:proofErr w:type="spellStart"/>
      <w:r w:rsidR="0010445C">
        <w:t>NVMe</w:t>
      </w:r>
      <w:proofErr w:type="spellEnd"/>
      <w:r w:rsidR="0010445C">
        <w:t xml:space="preserve"> SSD </w:t>
      </w:r>
      <w:r>
        <w:t>a diskov</w:t>
      </w:r>
      <w:r w:rsidR="0010445C">
        <w:t>é</w:t>
      </w:r>
      <w:r>
        <w:t xml:space="preserve"> úložiš</w:t>
      </w:r>
      <w:r w:rsidR="0010445C">
        <w:t>tě</w:t>
      </w:r>
      <w:r>
        <w:t xml:space="preserve"> s kapacitou </w:t>
      </w:r>
      <w:r w:rsidR="0010445C">
        <w:t>49</w:t>
      </w:r>
      <w:r>
        <w:t xml:space="preserve"> TB SSD</w:t>
      </w:r>
      <w:r w:rsidR="0010445C">
        <w:t xml:space="preserve"> disky,</w:t>
      </w:r>
      <w:r>
        <w:t xml:space="preserve"> vzájemně propojených 10 </w:t>
      </w:r>
      <w:proofErr w:type="spellStart"/>
      <w:r>
        <w:t>Gb</w:t>
      </w:r>
      <w:proofErr w:type="spellEnd"/>
      <w:r>
        <w:t xml:space="preserve"> LAN. Fyzické servery jsou </w:t>
      </w:r>
      <w:r>
        <w:lastRenderedPageBreak/>
        <w:t xml:space="preserve">virtualizovány technologií </w:t>
      </w:r>
      <w:proofErr w:type="spellStart"/>
      <w:r>
        <w:t>Vmware</w:t>
      </w:r>
      <w:proofErr w:type="spellEnd"/>
      <w:r>
        <w:t xml:space="preserve"> </w:t>
      </w:r>
      <w:proofErr w:type="spellStart"/>
      <w:r>
        <w:t>vSphere</w:t>
      </w:r>
      <w:proofErr w:type="spellEnd"/>
      <w:r>
        <w:t>, hlavním operačním systémem virtuálních serverů je Windows Server 20</w:t>
      </w:r>
      <w:r w:rsidR="0010445C">
        <w:t>22</w:t>
      </w:r>
      <w:r>
        <w:t xml:space="preserve">. Platforma slouží pro běh všech softwarových systémů organizace. </w:t>
      </w:r>
    </w:p>
    <w:p w14:paraId="11F2222E" w14:textId="6CEDC6C8" w:rsidR="0047206D" w:rsidRDefault="0047206D" w:rsidP="0010445C">
      <w:r>
        <w:t>Zabezpečení virtualizační platformy a provozovaných systémů a jejich dat je v současnosti zajištěno především</w:t>
      </w:r>
      <w:r w:rsidR="0010445C">
        <w:t xml:space="preserve"> firewallem, antivirovým systémem, záložním napájením a zálohovacím systémem.</w:t>
      </w:r>
      <w:r>
        <w:t xml:space="preserve"> </w:t>
      </w:r>
    </w:p>
    <w:p w14:paraId="1115EC0C" w14:textId="58D3F1B5" w:rsidR="0047206D" w:rsidRDefault="0047206D" w:rsidP="0047206D">
      <w:r>
        <w:t xml:space="preserve">Kapacita </w:t>
      </w:r>
      <w:r w:rsidR="0010445C">
        <w:t xml:space="preserve">120 </w:t>
      </w:r>
      <w:r>
        <w:t xml:space="preserve">TB síťového úložiště NAS </w:t>
      </w:r>
      <w:r w:rsidR="0010445C">
        <w:t>je</w:t>
      </w:r>
      <w:r>
        <w:t xml:space="preserve"> dostatečná pro zálohování stávajících systémů</w:t>
      </w:r>
      <w:r w:rsidR="0010445C">
        <w:t>.</w:t>
      </w:r>
    </w:p>
    <w:p w14:paraId="431F3987" w14:textId="77777777" w:rsidR="0047206D" w:rsidRDefault="0047206D" w:rsidP="0047206D">
      <w:r>
        <w:t xml:space="preserve">Koncové stanice (počítače) jsou různého stáří (cca. 8-10 let), provozovaným operačním systémem je převážně Windows 10 a Windows 11. </w:t>
      </w:r>
    </w:p>
    <w:p w14:paraId="1FEEC5EA" w14:textId="77777777" w:rsidR="0047206D" w:rsidRDefault="0047206D" w:rsidP="0047206D">
      <w:r>
        <w:t>K autentizaci části uživatelů jsou využívány autentizační tokeny a čtečky karet.</w:t>
      </w:r>
    </w:p>
    <w:p w14:paraId="262B5BA1" w14:textId="11646136" w:rsidR="0047206D" w:rsidRDefault="0047206D" w:rsidP="0047206D">
      <w:r>
        <w:t>Tiskové prostředí je tvořeno lokálními a síťovími tiskárnami cca 20 ks HP a Xerox a multifunkčními síťovými tiskárnami – 4 ks Xerox. Tiskové prostředí je tvořeno 27 ks lokálními tiskárnami (HP, Brother), 45 ks síťových tiskáren (HP, Xerox, Brother, Canon), multifunkčními síťovými tiskárnami 12ks (Minolta, Xerox) a 1k s plotr (Canon).</w:t>
      </w:r>
    </w:p>
    <w:p w14:paraId="6866FD1D" w14:textId="77777777" w:rsidR="0047206D" w:rsidRDefault="0047206D" w:rsidP="0047206D">
      <w:r>
        <w:t>Správci systémů jsou vyškoleni na běžnou správu provozního prostředí a používaných síťových technologií.</w:t>
      </w:r>
    </w:p>
    <w:p w14:paraId="52092244" w14:textId="77777777" w:rsidR="0047206D" w:rsidRDefault="0047206D" w:rsidP="0047206D">
      <w:r>
        <w:t xml:space="preserve">Stávající frankovací stroj </w:t>
      </w:r>
      <w:proofErr w:type="spellStart"/>
      <w:r>
        <w:t>Neopost</w:t>
      </w:r>
      <w:proofErr w:type="spellEnd"/>
      <w:r>
        <w:t xml:space="preserve"> IS 420 se používá pro výpravu zásilek.</w:t>
      </w:r>
    </w:p>
    <w:p w14:paraId="5B3ED1A5" w14:textId="77777777" w:rsidR="0047206D" w:rsidRDefault="0047206D" w:rsidP="00802160"/>
    <w:p w14:paraId="14421F04" w14:textId="77777777" w:rsidR="00802160" w:rsidRPr="00833402" w:rsidRDefault="00802160" w:rsidP="001E4E80">
      <w:pPr>
        <w:pStyle w:val="Nadpis2"/>
      </w:pPr>
      <w:r w:rsidRPr="00833402">
        <w:t>Popis stávajícího SW prostředí</w:t>
      </w:r>
    </w:p>
    <w:p w14:paraId="471CED7E" w14:textId="259D7C4F" w:rsidR="0047206D" w:rsidRPr="0047206D" w:rsidRDefault="0047206D" w:rsidP="0047206D">
      <w:r>
        <w:t>Systémové služby zadavatele jsou provozovány na platformě Microsoft Windows ve verzi 20</w:t>
      </w:r>
      <w:r w:rsidR="0010445C">
        <w:t>22</w:t>
      </w:r>
      <w:r>
        <w:t>.</w:t>
      </w:r>
    </w:p>
    <w:p w14:paraId="3BCFE878" w14:textId="2D4A2B8F" w:rsidR="0047206D" w:rsidRDefault="0047206D" w:rsidP="0047206D">
      <w:r>
        <w:t xml:space="preserve">Primární adresářovou službou je </w:t>
      </w:r>
      <w:proofErr w:type="spellStart"/>
      <w:r>
        <w:t>Active</w:t>
      </w:r>
      <w:proofErr w:type="spellEnd"/>
      <w:r>
        <w:t xml:space="preserve"> </w:t>
      </w:r>
      <w:proofErr w:type="spellStart"/>
      <w:r>
        <w:t>Directory</w:t>
      </w:r>
      <w:proofErr w:type="spellEnd"/>
      <w:r>
        <w:t xml:space="preserve"> provozovaná na redundantních replikovaných řadičích, které zajištují také služby DNS a DHCP. </w:t>
      </w:r>
      <w:proofErr w:type="spellStart"/>
      <w:r>
        <w:t>Active</w:t>
      </w:r>
      <w:proofErr w:type="spellEnd"/>
      <w:r>
        <w:t xml:space="preserve"> </w:t>
      </w:r>
      <w:proofErr w:type="spellStart"/>
      <w:r>
        <w:t>Directory</w:t>
      </w:r>
      <w:proofErr w:type="spellEnd"/>
      <w:r>
        <w:t xml:space="preserve"> je implementováno ve verzi 20</w:t>
      </w:r>
      <w:r w:rsidR="0010445C">
        <w:t>22</w:t>
      </w:r>
      <w:r>
        <w:t xml:space="preserve"> dle doporučení výrobce a poskytuje veškeré standardní rozhraní (LDAP, ADSI, </w:t>
      </w:r>
      <w:proofErr w:type="spellStart"/>
      <w:r>
        <w:t>PowerShell</w:t>
      </w:r>
      <w:proofErr w:type="spellEnd"/>
      <w:r>
        <w:t xml:space="preserve"> atd.). Dokumentace je dostupná na stránkách výrobce </w:t>
      </w:r>
      <w:hyperlink r:id="rId7" w:history="1">
        <w:r>
          <w:rPr>
            <w:rStyle w:val="Hypertextovodkaz"/>
          </w:rPr>
          <w:t>https://msdn.microsoft.com</w:t>
        </w:r>
      </w:hyperlink>
    </w:p>
    <w:p w14:paraId="32161A70" w14:textId="3D854642" w:rsidR="0047206D" w:rsidRDefault="0047206D" w:rsidP="0047206D">
      <w:r>
        <w:t xml:space="preserve">Standardním kancelářským balíkem využívaným pro potřeby </w:t>
      </w:r>
      <w:r w:rsidR="00B116FD">
        <w:t>zadavatele</w:t>
      </w:r>
      <w:r>
        <w:t xml:space="preserve"> je Microsoft Office v různých verzích (2016, 2019, O365 basic, standard a </w:t>
      </w:r>
      <w:proofErr w:type="spellStart"/>
      <w:r>
        <w:t>premium</w:t>
      </w:r>
      <w:proofErr w:type="spellEnd"/>
      <w:r>
        <w:t xml:space="preserve"> pro firmy). Standardně jsou využívány aplikace Word, Excel, Powerpoint, Outlook a OneNote, OneDrive a Teams. </w:t>
      </w:r>
    </w:p>
    <w:p w14:paraId="1501022C" w14:textId="4D71564F" w:rsidR="0047206D" w:rsidRDefault="0047206D" w:rsidP="0047206D">
      <w:r>
        <w:t xml:space="preserve">Pro vzdálený přístup k aplikacím je využívána technologie Microsoft </w:t>
      </w:r>
      <w:proofErr w:type="spellStart"/>
      <w:r>
        <w:t>Remote</w:t>
      </w:r>
      <w:proofErr w:type="spellEnd"/>
      <w:r>
        <w:t xml:space="preserve"> Desktop Services (dále jen RDS) a VPN </w:t>
      </w:r>
      <w:r w:rsidR="00B116FD">
        <w:t>služba</w:t>
      </w:r>
      <w:r>
        <w:t>.</w:t>
      </w:r>
    </w:p>
    <w:p w14:paraId="62BD1066" w14:textId="39E72AB5" w:rsidR="0047206D" w:rsidRDefault="0047206D" w:rsidP="0047206D">
      <w:r>
        <w:t>K ukládání sdílených souborů jsou využívány síťové sdílené složky Windows Server. Centrálním databázový</w:t>
      </w:r>
      <w:r w:rsidR="000F717F">
        <w:t>m</w:t>
      </w:r>
      <w:r>
        <w:t xml:space="preserve"> systémem je Microsoft SQL server 20</w:t>
      </w:r>
      <w:r w:rsidR="0010445C">
        <w:t>22</w:t>
      </w:r>
      <w:r>
        <w:t xml:space="preserve"> Standard. </w:t>
      </w:r>
    </w:p>
    <w:p w14:paraId="0A2AFEA9" w14:textId="5EBF20C7" w:rsidR="0047206D" w:rsidRDefault="0047206D" w:rsidP="0047206D">
      <w:r>
        <w:t>E-mailové služby zajišťuje hybridní řešení – Microsoft Exchange 201</w:t>
      </w:r>
      <w:r w:rsidR="0010445C">
        <w:t>9</w:t>
      </w:r>
      <w:r>
        <w:t xml:space="preserve"> a </w:t>
      </w:r>
      <w:proofErr w:type="spellStart"/>
      <w:r>
        <w:t>tenant</w:t>
      </w:r>
      <w:proofErr w:type="spellEnd"/>
      <w:r>
        <w:t xml:space="preserve"> O365.</w:t>
      </w:r>
    </w:p>
    <w:p w14:paraId="59EA4482" w14:textId="41C68DC8" w:rsidR="0047206D" w:rsidRDefault="0047206D" w:rsidP="0047206D">
      <w:r>
        <w:t xml:space="preserve">Základní systémové služby jsou doplněny pokročilým systémem pro automatizované řízení životního cyklu elektronických identit a jejich oprávnění IAM (Identity and Access Management). IAM je v současné době prostřednictvím konektorů integrován se všemi klíčovými systémy organizace – personální systém Magma, </w:t>
      </w:r>
      <w:proofErr w:type="spellStart"/>
      <w:r>
        <w:t>Active</w:t>
      </w:r>
      <w:proofErr w:type="spellEnd"/>
      <w:r>
        <w:t xml:space="preserve"> </w:t>
      </w:r>
      <w:proofErr w:type="spellStart"/>
      <w:r>
        <w:t>Directory</w:t>
      </w:r>
      <w:proofErr w:type="spellEnd"/>
      <w:r>
        <w:t xml:space="preserve">, Exchange, aplikace VITA Software, ekonomický systém </w:t>
      </w:r>
      <w:proofErr w:type="spellStart"/>
      <w:r>
        <w:t>Ginis</w:t>
      </w:r>
      <w:proofErr w:type="spellEnd"/>
      <w:r>
        <w:t xml:space="preserve">, spisová služba </w:t>
      </w:r>
      <w:proofErr w:type="spellStart"/>
      <w:r w:rsidR="0026603B">
        <w:t>Ginis</w:t>
      </w:r>
      <w:proofErr w:type="spellEnd"/>
      <w:r>
        <w:t xml:space="preserve">, agendy Smlouvy a </w:t>
      </w:r>
      <w:r w:rsidR="00521F4F">
        <w:t xml:space="preserve">Usnesení </w:t>
      </w:r>
      <w:proofErr w:type="spellStart"/>
      <w:r w:rsidR="00521F4F">
        <w:t>Ginis</w:t>
      </w:r>
      <w:proofErr w:type="spellEnd"/>
      <w:r>
        <w:t>, a systémy JIP-KAAS.</w:t>
      </w:r>
    </w:p>
    <w:p w14:paraId="0B5311E9" w14:textId="77777777" w:rsidR="0047206D" w:rsidRDefault="0047206D" w:rsidP="0047206D">
      <w:r>
        <w:t>Pro správu elektronických identit a jejich oprávnění je implementován systém Identity management (dále jen IDM) AC Identita (</w:t>
      </w:r>
      <w:hyperlink r:id="rId8" w:history="1">
        <w:r>
          <w:rPr>
            <w:rStyle w:val="Hypertextovodkaz"/>
          </w:rPr>
          <w:t>https://www.autocont.cz</w:t>
        </w:r>
      </w:hyperlink>
      <w:r>
        <w:t xml:space="preserve">) integrovaný s personálním systémem, </w:t>
      </w:r>
      <w:proofErr w:type="spellStart"/>
      <w:r>
        <w:t>Active</w:t>
      </w:r>
      <w:proofErr w:type="spellEnd"/>
      <w:r>
        <w:t xml:space="preserve"> </w:t>
      </w:r>
      <w:proofErr w:type="spellStart"/>
      <w:r>
        <w:t>Directory</w:t>
      </w:r>
      <w:proofErr w:type="spellEnd"/>
      <w:r>
        <w:t xml:space="preserve"> a systémem </w:t>
      </w:r>
      <w:proofErr w:type="spellStart"/>
      <w:r>
        <w:t>Ginis</w:t>
      </w:r>
      <w:proofErr w:type="spellEnd"/>
      <w:r>
        <w:t xml:space="preserve">. </w:t>
      </w:r>
    </w:p>
    <w:p w14:paraId="0CE2D397" w14:textId="7786F877" w:rsidR="0047206D" w:rsidRDefault="0047206D" w:rsidP="0047206D">
      <w:r>
        <w:t xml:space="preserve">Město využívá pro svou činnost tyto agendové, ekonomické systémy a podpůrné: elektronická spisová služba </w:t>
      </w:r>
      <w:r w:rsidR="0026603B">
        <w:t>GINIS (GORDIC spol. s r. o.</w:t>
      </w:r>
      <w:proofErr w:type="gramStart"/>
      <w:r w:rsidR="0026603B">
        <w:t>),</w:t>
      </w:r>
      <w:r>
        <w:t>,</w:t>
      </w:r>
      <w:proofErr w:type="gramEnd"/>
      <w:r>
        <w:t xml:space="preserve"> systém pro správu usnesení</w:t>
      </w:r>
      <w:r w:rsidR="0026603B">
        <w:t xml:space="preserve"> USN - Usnesení(GORDIC spol. s r. o)</w:t>
      </w:r>
      <w:r>
        <w:t xml:space="preserve">, ekonomický systém </w:t>
      </w:r>
      <w:proofErr w:type="spellStart"/>
      <w:r>
        <w:t>Ginis</w:t>
      </w:r>
      <w:proofErr w:type="spellEnd"/>
      <w:r>
        <w:t xml:space="preserve"> (</w:t>
      </w:r>
      <w:r w:rsidR="0026603B">
        <w:t>GORDIC spol. s r. o</w:t>
      </w:r>
      <w:r>
        <w:t xml:space="preserve">), stavební úřad Vita, personální a mzdový systém Magma, docházkový systém </w:t>
      </w:r>
      <w:proofErr w:type="spellStart"/>
      <w:r>
        <w:t>ANeT</w:t>
      </w:r>
      <w:proofErr w:type="spellEnd"/>
      <w:r>
        <w:t>.</w:t>
      </w:r>
    </w:p>
    <w:p w14:paraId="74DC0751" w14:textId="07F0CF8B" w:rsidR="0047206D" w:rsidRDefault="0047206D" w:rsidP="0047206D">
      <w:r>
        <w:t>Stávající elektronická spisová služba (</w:t>
      </w:r>
      <w:proofErr w:type="spellStart"/>
      <w:r w:rsidR="0026603B">
        <w:t>Ginis</w:t>
      </w:r>
      <w:proofErr w:type="spellEnd"/>
      <w:r>
        <w:t xml:space="preserve">, </w:t>
      </w:r>
      <w:r w:rsidR="0026603B">
        <w:t>GORDIC spol. s r. o</w:t>
      </w:r>
      <w:r>
        <w:t>) je v souladu s platnou legislativou ČR</w:t>
      </w:r>
      <w:r w:rsidR="0026603B">
        <w:t xml:space="preserve"> a probíhá příprava na atestaci.</w:t>
      </w:r>
    </w:p>
    <w:p w14:paraId="1887D245" w14:textId="77777777" w:rsidR="0047206D" w:rsidRDefault="0047206D" w:rsidP="0047206D">
      <w:r>
        <w:t>Stávající ekonomický systém (</w:t>
      </w:r>
      <w:proofErr w:type="spellStart"/>
      <w:r>
        <w:t>Ginis</w:t>
      </w:r>
      <w:proofErr w:type="spellEnd"/>
      <w:r>
        <w:t xml:space="preserve">, GORDIC spol. s r. o.) aktuálně zahrnuje následující moduly: Účetnictví, Účetní a rozpočtové doklady, Kniha došlých faktur, Kniha vydaných faktur, Výkaznictví, </w:t>
      </w:r>
      <w:r>
        <w:lastRenderedPageBreak/>
        <w:t xml:space="preserve">Banka, Pokladna, Platební a převodní poukazy, Daně, dávky a poplatky, Evidence poplatků ze psa, Evidence rozvozu komunálního odpadu, Finanční účtárna, Interface účetnictví a rozpočtu, Otevřená data, Administrace. </w:t>
      </w:r>
    </w:p>
    <w:p w14:paraId="2D9A6C72" w14:textId="77777777" w:rsidR="0047206D" w:rsidRDefault="0047206D" w:rsidP="0047206D">
      <w:r>
        <w:t>Dále žadatel využívá aplikace VITA (VITA software s.r.o.) a to pro agendy stavebního úřadu, vodoprávního úřadu, přestupky, památky a vyvlastňování.</w:t>
      </w:r>
    </w:p>
    <w:p w14:paraId="1AE66B00" w14:textId="416A48BA" w:rsidR="0047206D" w:rsidRDefault="0047206D" w:rsidP="0047206D">
      <w:r>
        <w:t xml:space="preserve">Pro centrální správu a evidence vymáhaných pohledávek je využíván </w:t>
      </w:r>
      <w:r w:rsidR="006027D2">
        <w:t>GINIS DDP (GORDIC spol. s r. o)</w:t>
      </w:r>
    </w:p>
    <w:p w14:paraId="14A39FE4" w14:textId="44961153" w:rsidR="0047206D" w:rsidRDefault="0047206D" w:rsidP="0047206D">
      <w:r>
        <w:t xml:space="preserve">Dostupnost dat ze stávajících informačních systémů úřadu je možná pomocí rozhraní API. API pro jednotlivé aplikace, které je nutné integrovat, jsou buď k dispozici, nebo v současné době neexistují a budou vytvořena stávajícími výrobci a vybranému dodavateli bude zpřístupněn popis těchto API do 30 kalendářních dní od data účinnosti smlouvy. </w:t>
      </w:r>
    </w:p>
    <w:p w14:paraId="6439ACD7" w14:textId="0540B46B" w:rsidR="0047206D" w:rsidRDefault="0047206D" w:rsidP="0047206D">
      <w:r>
        <w:t>Zadavatel zajistil potřebnou součinnost dodavatelů informačních systémů používaných zadavatelem a na které se dodavatel musí napojit v rámci realizace předmětu plnění (viz kapitola</w:t>
      </w:r>
      <w:r w:rsidR="000E7C16">
        <w:t xml:space="preserve"> </w:t>
      </w:r>
      <w:r w:rsidR="000E7C16">
        <w:fldChar w:fldCharType="begin"/>
      </w:r>
      <w:r w:rsidR="000E7C16">
        <w:instrText xml:space="preserve"> REF _Ref151409551 \r \h </w:instrText>
      </w:r>
      <w:r w:rsidR="000E7C16">
        <w:fldChar w:fldCharType="separate"/>
      </w:r>
      <w:r w:rsidR="00F93282">
        <w:t>3.13</w:t>
      </w:r>
      <w:r w:rsidR="000E7C16">
        <w:fldChar w:fldCharType="end"/>
      </w:r>
      <w:r w:rsidR="000E7C16">
        <w:t xml:space="preserve"> – </w:t>
      </w:r>
      <w:r w:rsidR="000E7C16">
        <w:fldChar w:fldCharType="begin"/>
      </w:r>
      <w:r w:rsidR="000E7C16">
        <w:instrText xml:space="preserve"> REF _Ref151409551 \h </w:instrText>
      </w:r>
      <w:r w:rsidR="000E7C16">
        <w:fldChar w:fldCharType="separate"/>
      </w:r>
      <w:r w:rsidR="00F93282" w:rsidRPr="00087E3F">
        <w:t xml:space="preserve">Požadavky na </w:t>
      </w:r>
      <w:r w:rsidR="00F93282">
        <w:t>integrační vazby</w:t>
      </w:r>
      <w:r w:rsidR="000E7C16">
        <w:fldChar w:fldCharType="end"/>
      </w:r>
      <w:r w:rsidRPr="0047206D">
        <w:t xml:space="preserve">) </w:t>
      </w:r>
      <w:r>
        <w:t xml:space="preserve">– realizace napojení na tyto systémy za účelem propojení informačních systémů je součástí předmětu plnění. </w:t>
      </w:r>
    </w:p>
    <w:p w14:paraId="15E2397F" w14:textId="1E205A30" w:rsidR="0047206D" w:rsidRPr="0047206D" w:rsidRDefault="0047206D" w:rsidP="0047206D">
      <w:pPr>
        <w:rPr>
          <w:b/>
          <w:bCs/>
        </w:rPr>
      </w:pPr>
      <w:r>
        <w:t xml:space="preserve">Zadavatel zároveň provedl průzkum trhu ohledně technických možností napojení nově dodávaných systémů na stávající systémy včetně předpokládaných nákladů na připojení na tyto informační systémy. </w:t>
      </w:r>
      <w:r w:rsidRPr="0047206D">
        <w:rPr>
          <w:b/>
          <w:bCs/>
        </w:rPr>
        <w:t>Zadavatel upozorňuje na to, že se jedná o předpokládané podmínky stanovené na základě jednání s dodavateli ohledně možností připojení na zdroje dat a zároveň v rozsahu informací používaných v</w:t>
      </w:r>
      <w:r>
        <w:rPr>
          <w:b/>
          <w:bCs/>
        </w:rPr>
        <w:t xml:space="preserve"> této </w:t>
      </w:r>
      <w:r w:rsidRPr="0047206D">
        <w:rPr>
          <w:b/>
          <w:bCs/>
        </w:rPr>
        <w:t>Technická specifikac</w:t>
      </w:r>
      <w:r>
        <w:rPr>
          <w:b/>
          <w:bCs/>
        </w:rPr>
        <w:t>i</w:t>
      </w:r>
      <w:r w:rsidRPr="0047206D">
        <w:rPr>
          <w:b/>
          <w:bCs/>
        </w:rPr>
        <w:t>. Zadavatel výslovně doporučuje dodavatelům, aby si</w:t>
      </w:r>
      <w:r>
        <w:rPr>
          <w:b/>
          <w:bCs/>
        </w:rPr>
        <w:t> </w:t>
      </w:r>
      <w:r w:rsidRPr="0047206D">
        <w:rPr>
          <w:b/>
          <w:bCs/>
        </w:rPr>
        <w:t xml:space="preserve">konkrétní podmínky pro napojení nabízených systémů prověřili ve vztahu k dodavateli nabízeným technologiím samostatně u výrobce daného systému. </w:t>
      </w:r>
    </w:p>
    <w:p w14:paraId="22C476FC" w14:textId="52735420" w:rsidR="0047206D" w:rsidRPr="0047206D" w:rsidRDefault="0047206D" w:rsidP="0047206D">
      <w:pPr>
        <w:rPr>
          <w:b/>
          <w:bCs/>
        </w:rPr>
      </w:pPr>
      <w:r>
        <w:rPr>
          <w:b/>
          <w:bCs/>
        </w:rPr>
        <w:t xml:space="preserve">Účastník </w:t>
      </w:r>
      <w:r w:rsidRPr="0047206D">
        <w:rPr>
          <w:b/>
          <w:bCs/>
        </w:rPr>
        <w:t>je povinen ve své nabídce všechny uvedené skutečnosti zohlednit a je povinen zahrnout do své nabídky kompletní náklady na propojení dodávaných informačních systémů na</w:t>
      </w:r>
      <w:r>
        <w:rPr>
          <w:b/>
          <w:bCs/>
        </w:rPr>
        <w:t> </w:t>
      </w:r>
      <w:r w:rsidRPr="0047206D">
        <w:rPr>
          <w:b/>
          <w:bCs/>
        </w:rPr>
        <w:t>stávající systémy včetně připojení API rozhraní.</w:t>
      </w:r>
    </w:p>
    <w:p w14:paraId="554F1EA2" w14:textId="66155DB6" w:rsidR="0047206D" w:rsidRDefault="0047206D" w:rsidP="0047206D">
      <w:r>
        <w:t>Přehled stávajících systémů a možností datových rozhraní pro napojení, včetně předkládaných nákladů na implementaci datového rozhraní je uveden v následující tabulce:</w:t>
      </w:r>
    </w:p>
    <w:tbl>
      <w:tblPr>
        <w:tblStyle w:val="Mkatabulky"/>
        <w:tblW w:w="5000" w:type="pct"/>
        <w:tblLook w:val="04A0" w:firstRow="1" w:lastRow="0" w:firstColumn="1" w:lastColumn="0" w:noHBand="0" w:noVBand="1"/>
      </w:tblPr>
      <w:tblGrid>
        <w:gridCol w:w="1829"/>
        <w:gridCol w:w="2667"/>
        <w:gridCol w:w="4564"/>
      </w:tblGrid>
      <w:tr w:rsidR="00514BB3" w:rsidRPr="0047206D" w14:paraId="34AF3D4C" w14:textId="77777777" w:rsidTr="0032639F">
        <w:tc>
          <w:tcPr>
            <w:tcW w:w="1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17C4F0" w14:textId="77777777" w:rsidR="0047206D" w:rsidRPr="0047206D" w:rsidRDefault="0047206D" w:rsidP="0047206D">
            <w:pPr>
              <w:pStyle w:val="Normln-Odstavec"/>
              <w:tabs>
                <w:tab w:val="clear" w:pos="567"/>
                <w:tab w:val="left" w:pos="708"/>
              </w:tabs>
              <w:spacing w:before="60" w:after="60"/>
              <w:jc w:val="left"/>
              <w:rPr>
                <w:rFonts w:ascii="Arial" w:hAnsi="Arial" w:cs="Arial"/>
                <w:b/>
                <w:sz w:val="20"/>
                <w:szCs w:val="20"/>
              </w:rPr>
            </w:pPr>
            <w:r w:rsidRPr="0047206D">
              <w:rPr>
                <w:rFonts w:ascii="Arial" w:hAnsi="Arial" w:cs="Arial"/>
                <w:b/>
                <w:sz w:val="20"/>
                <w:szCs w:val="20"/>
              </w:rPr>
              <w:t>Stávající systémy</w:t>
            </w:r>
          </w:p>
        </w:tc>
        <w:tc>
          <w:tcPr>
            <w:tcW w:w="2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EB3188" w14:textId="77777777" w:rsidR="0047206D" w:rsidRPr="0047206D" w:rsidRDefault="0047206D" w:rsidP="0047206D">
            <w:pPr>
              <w:pStyle w:val="Normln-Odstavec"/>
              <w:tabs>
                <w:tab w:val="clear" w:pos="567"/>
                <w:tab w:val="left" w:pos="708"/>
              </w:tabs>
              <w:spacing w:before="60" w:after="60"/>
              <w:jc w:val="left"/>
              <w:rPr>
                <w:rFonts w:ascii="Arial" w:hAnsi="Arial" w:cs="Arial"/>
                <w:b/>
                <w:sz w:val="20"/>
                <w:szCs w:val="20"/>
              </w:rPr>
            </w:pPr>
            <w:r w:rsidRPr="0047206D">
              <w:rPr>
                <w:rFonts w:ascii="Arial" w:hAnsi="Arial" w:cs="Arial"/>
                <w:b/>
                <w:sz w:val="20"/>
                <w:szCs w:val="20"/>
              </w:rPr>
              <w:t>API rozhraní</w:t>
            </w:r>
          </w:p>
        </w:tc>
        <w:tc>
          <w:tcPr>
            <w:tcW w:w="4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D82279" w14:textId="77777777" w:rsidR="0047206D" w:rsidRPr="0047206D" w:rsidRDefault="0047206D" w:rsidP="0047206D">
            <w:pPr>
              <w:pStyle w:val="Normln-Odstavec"/>
              <w:tabs>
                <w:tab w:val="clear" w:pos="567"/>
                <w:tab w:val="left" w:pos="708"/>
              </w:tabs>
              <w:spacing w:before="60" w:after="60"/>
              <w:jc w:val="left"/>
              <w:rPr>
                <w:rFonts w:ascii="Arial" w:hAnsi="Arial" w:cs="Arial"/>
                <w:b/>
                <w:sz w:val="20"/>
                <w:szCs w:val="20"/>
              </w:rPr>
            </w:pPr>
            <w:r w:rsidRPr="0047206D">
              <w:rPr>
                <w:rFonts w:ascii="Arial" w:hAnsi="Arial" w:cs="Arial"/>
                <w:b/>
                <w:sz w:val="20"/>
                <w:szCs w:val="20"/>
              </w:rPr>
              <w:t>Náklady na připojení API</w:t>
            </w:r>
          </w:p>
        </w:tc>
      </w:tr>
      <w:tr w:rsidR="0047206D" w:rsidRPr="0047206D" w14:paraId="78C92927" w14:textId="77777777" w:rsidTr="0032639F">
        <w:tc>
          <w:tcPr>
            <w:tcW w:w="1829" w:type="dxa"/>
            <w:tcBorders>
              <w:top w:val="single" w:sz="4" w:space="0" w:color="auto"/>
              <w:left w:val="single" w:sz="4" w:space="0" w:color="auto"/>
              <w:bottom w:val="single" w:sz="4" w:space="0" w:color="auto"/>
              <w:right w:val="single" w:sz="4" w:space="0" w:color="auto"/>
            </w:tcBorders>
            <w:hideMark/>
          </w:tcPr>
          <w:p w14:paraId="41CF4F12" w14:textId="77777777" w:rsidR="0047206D" w:rsidRPr="0047206D" w:rsidRDefault="0047206D" w:rsidP="0047206D">
            <w:pPr>
              <w:pStyle w:val="Normln-Odstavec"/>
              <w:tabs>
                <w:tab w:val="clear" w:pos="567"/>
                <w:tab w:val="left" w:pos="708"/>
              </w:tabs>
              <w:spacing w:before="60" w:after="60"/>
              <w:jc w:val="left"/>
              <w:rPr>
                <w:rFonts w:ascii="Arial" w:hAnsi="Arial" w:cs="Arial"/>
                <w:sz w:val="20"/>
                <w:szCs w:val="20"/>
              </w:rPr>
            </w:pPr>
            <w:r w:rsidRPr="0047206D">
              <w:rPr>
                <w:rFonts w:ascii="Arial" w:hAnsi="Arial" w:cs="Arial"/>
                <w:sz w:val="20"/>
                <w:szCs w:val="20"/>
              </w:rPr>
              <w:t>GINIS (výrobce GORDIC spol. s r.o.)</w:t>
            </w:r>
          </w:p>
        </w:tc>
        <w:tc>
          <w:tcPr>
            <w:tcW w:w="2668" w:type="dxa"/>
            <w:tcBorders>
              <w:top w:val="single" w:sz="4" w:space="0" w:color="auto"/>
              <w:left w:val="single" w:sz="4" w:space="0" w:color="auto"/>
              <w:bottom w:val="single" w:sz="4" w:space="0" w:color="auto"/>
              <w:right w:val="single" w:sz="4" w:space="0" w:color="auto"/>
            </w:tcBorders>
            <w:hideMark/>
          </w:tcPr>
          <w:p w14:paraId="491943CC" w14:textId="77777777" w:rsidR="0047206D" w:rsidRPr="0047206D" w:rsidRDefault="0047206D" w:rsidP="0047206D">
            <w:pPr>
              <w:pStyle w:val="Normln-Odstavec"/>
              <w:tabs>
                <w:tab w:val="clear" w:pos="567"/>
                <w:tab w:val="left" w:pos="708"/>
              </w:tabs>
              <w:spacing w:before="60" w:after="60"/>
              <w:jc w:val="left"/>
              <w:rPr>
                <w:rFonts w:ascii="Arial" w:hAnsi="Arial" w:cs="Arial"/>
                <w:sz w:val="20"/>
                <w:szCs w:val="20"/>
              </w:rPr>
            </w:pPr>
            <w:r w:rsidRPr="0047206D">
              <w:rPr>
                <w:rFonts w:ascii="Arial" w:hAnsi="Arial" w:cs="Arial"/>
                <w:sz w:val="20"/>
                <w:szCs w:val="20"/>
              </w:rPr>
              <w:t>API je k dispozici. API rozhraní používá standard – webová služba (REST, SOAP).</w:t>
            </w:r>
          </w:p>
        </w:tc>
        <w:tc>
          <w:tcPr>
            <w:tcW w:w="4565" w:type="dxa"/>
            <w:tcBorders>
              <w:top w:val="single" w:sz="4" w:space="0" w:color="auto"/>
              <w:left w:val="single" w:sz="4" w:space="0" w:color="auto"/>
              <w:bottom w:val="single" w:sz="4" w:space="0" w:color="auto"/>
              <w:right w:val="single" w:sz="4" w:space="0" w:color="auto"/>
            </w:tcBorders>
            <w:hideMark/>
          </w:tcPr>
          <w:p w14:paraId="694AD647" w14:textId="77777777" w:rsidR="0047206D" w:rsidRPr="0047206D" w:rsidRDefault="0047206D" w:rsidP="0047206D">
            <w:pPr>
              <w:pStyle w:val="Normln-Odstavec"/>
              <w:tabs>
                <w:tab w:val="clear" w:pos="567"/>
                <w:tab w:val="left" w:pos="708"/>
              </w:tabs>
              <w:spacing w:before="60" w:after="60"/>
              <w:jc w:val="left"/>
              <w:rPr>
                <w:rFonts w:ascii="Arial" w:hAnsi="Arial" w:cs="Arial"/>
                <w:sz w:val="20"/>
                <w:szCs w:val="20"/>
              </w:rPr>
            </w:pPr>
            <w:r w:rsidRPr="0047206D">
              <w:rPr>
                <w:rFonts w:ascii="Arial" w:hAnsi="Arial" w:cs="Arial"/>
                <w:sz w:val="20"/>
                <w:szCs w:val="20"/>
              </w:rPr>
              <w:t xml:space="preserve">Popis API rozhraní je poskytován zdarma na vyžádání (schémata ve formátu </w:t>
            </w:r>
            <w:proofErr w:type="spellStart"/>
            <w:r w:rsidRPr="0047206D">
              <w:rPr>
                <w:rFonts w:ascii="Arial" w:hAnsi="Arial" w:cs="Arial"/>
                <w:sz w:val="20"/>
                <w:szCs w:val="20"/>
              </w:rPr>
              <w:t>xsd</w:t>
            </w:r>
            <w:proofErr w:type="spellEnd"/>
            <w:r w:rsidRPr="0047206D">
              <w:rPr>
                <w:rFonts w:ascii="Arial" w:hAnsi="Arial" w:cs="Arial"/>
                <w:sz w:val="20"/>
                <w:szCs w:val="20"/>
              </w:rPr>
              <w:t xml:space="preserve">). </w:t>
            </w:r>
          </w:p>
          <w:p w14:paraId="770B5494" w14:textId="34FE1F42" w:rsidR="0047206D" w:rsidRPr="0047206D" w:rsidRDefault="0047206D" w:rsidP="0047206D">
            <w:pPr>
              <w:pStyle w:val="Normln-Odstavec"/>
              <w:tabs>
                <w:tab w:val="clear" w:pos="567"/>
                <w:tab w:val="left" w:pos="708"/>
              </w:tabs>
              <w:spacing w:before="60" w:after="60"/>
              <w:jc w:val="left"/>
              <w:rPr>
                <w:rFonts w:ascii="Arial" w:hAnsi="Arial" w:cs="Arial"/>
                <w:sz w:val="20"/>
                <w:szCs w:val="20"/>
              </w:rPr>
            </w:pPr>
            <w:r w:rsidRPr="0047206D">
              <w:rPr>
                <w:rFonts w:ascii="Arial" w:hAnsi="Arial" w:cs="Arial"/>
                <w:sz w:val="20"/>
                <w:szCs w:val="20"/>
              </w:rPr>
              <w:t>Rozhraní API je poskytováno za úhradu. Finální částka se odvíjí od jednotlivých API, které jsou napojené a počtu napojujících se systémů – pro účely nabídky jsou uvažovány následující WS: GIN, UCR, FUC, KDF, POU, KOF, POK, DDP</w:t>
            </w:r>
            <w:r w:rsidR="002F4621">
              <w:rPr>
                <w:rFonts w:ascii="Arial" w:hAnsi="Arial" w:cs="Arial"/>
                <w:sz w:val="20"/>
                <w:szCs w:val="20"/>
              </w:rPr>
              <w:t>, SSL</w:t>
            </w:r>
            <w:r w:rsidRPr="0047206D">
              <w:rPr>
                <w:rFonts w:ascii="Arial" w:hAnsi="Arial" w:cs="Arial"/>
                <w:sz w:val="20"/>
                <w:szCs w:val="20"/>
              </w:rPr>
              <w:t xml:space="preserve">. </w:t>
            </w:r>
          </w:p>
          <w:p w14:paraId="08B8BC76" w14:textId="77777777" w:rsidR="0047206D" w:rsidRPr="0047206D" w:rsidRDefault="0047206D" w:rsidP="0047206D">
            <w:pPr>
              <w:pStyle w:val="Normln-Odstavec"/>
              <w:tabs>
                <w:tab w:val="clear" w:pos="567"/>
                <w:tab w:val="left" w:pos="708"/>
              </w:tabs>
              <w:spacing w:before="60" w:after="60"/>
              <w:jc w:val="left"/>
              <w:rPr>
                <w:rFonts w:ascii="Arial" w:hAnsi="Arial" w:cs="Arial"/>
                <w:sz w:val="20"/>
                <w:szCs w:val="20"/>
              </w:rPr>
            </w:pPr>
            <w:r w:rsidRPr="0047206D">
              <w:rPr>
                <w:rFonts w:ascii="Arial" w:hAnsi="Arial" w:cs="Arial"/>
                <w:sz w:val="20"/>
                <w:szCs w:val="20"/>
              </w:rPr>
              <w:t>API rozhraní – cena za licence (bez update) činí 352 000 Kč bez DPH.</w:t>
            </w:r>
          </w:p>
          <w:p w14:paraId="3222B6BC" w14:textId="77777777" w:rsidR="0047206D" w:rsidRPr="0047206D" w:rsidRDefault="0047206D" w:rsidP="0047206D">
            <w:pPr>
              <w:pStyle w:val="Normln-Odstavec"/>
              <w:tabs>
                <w:tab w:val="clear" w:pos="567"/>
                <w:tab w:val="left" w:pos="708"/>
              </w:tabs>
              <w:spacing w:before="60" w:after="60"/>
              <w:jc w:val="left"/>
              <w:rPr>
                <w:rFonts w:ascii="Arial" w:hAnsi="Arial" w:cs="Arial"/>
                <w:sz w:val="20"/>
                <w:szCs w:val="20"/>
              </w:rPr>
            </w:pPr>
            <w:r w:rsidRPr="0047206D">
              <w:rPr>
                <w:rFonts w:ascii="Arial" w:hAnsi="Arial" w:cs="Arial"/>
                <w:sz w:val="20"/>
                <w:szCs w:val="20"/>
              </w:rPr>
              <w:t>API rozhraní – cena za poskytnutí součinnosti při implementaci rozhraní API činí 160 000 Kč bez DPH.</w:t>
            </w:r>
          </w:p>
        </w:tc>
      </w:tr>
      <w:tr w:rsidR="0047206D" w:rsidRPr="0047206D" w14:paraId="3620F29E" w14:textId="77777777" w:rsidTr="0032639F">
        <w:tc>
          <w:tcPr>
            <w:tcW w:w="1829" w:type="dxa"/>
            <w:tcBorders>
              <w:top w:val="single" w:sz="4" w:space="0" w:color="auto"/>
              <w:left w:val="single" w:sz="4" w:space="0" w:color="auto"/>
              <w:bottom w:val="single" w:sz="4" w:space="0" w:color="auto"/>
              <w:right w:val="single" w:sz="4" w:space="0" w:color="auto"/>
            </w:tcBorders>
            <w:hideMark/>
          </w:tcPr>
          <w:p w14:paraId="4C122161" w14:textId="77777777" w:rsidR="0047206D" w:rsidRPr="0047206D" w:rsidRDefault="0047206D" w:rsidP="0047206D">
            <w:pPr>
              <w:pStyle w:val="Normln-Odstavec"/>
              <w:tabs>
                <w:tab w:val="clear" w:pos="567"/>
                <w:tab w:val="left" w:pos="708"/>
              </w:tabs>
              <w:spacing w:before="60" w:after="60"/>
              <w:jc w:val="left"/>
              <w:rPr>
                <w:rFonts w:ascii="Arial" w:hAnsi="Arial" w:cs="Arial"/>
                <w:sz w:val="20"/>
                <w:szCs w:val="20"/>
              </w:rPr>
            </w:pPr>
            <w:r w:rsidRPr="0047206D">
              <w:rPr>
                <w:rFonts w:ascii="Arial" w:hAnsi="Arial" w:cs="Arial"/>
                <w:sz w:val="20"/>
                <w:szCs w:val="20"/>
              </w:rPr>
              <w:t xml:space="preserve">Identity management AC Identita (výrobce </w:t>
            </w:r>
            <w:proofErr w:type="spellStart"/>
            <w:r w:rsidRPr="0047206D">
              <w:rPr>
                <w:rFonts w:ascii="Arial" w:hAnsi="Arial" w:cs="Arial"/>
                <w:sz w:val="20"/>
                <w:szCs w:val="20"/>
              </w:rPr>
              <w:t>AutoCont</w:t>
            </w:r>
            <w:proofErr w:type="spellEnd"/>
            <w:r w:rsidRPr="0047206D">
              <w:rPr>
                <w:rFonts w:ascii="Arial" w:hAnsi="Arial" w:cs="Arial"/>
                <w:sz w:val="20"/>
                <w:szCs w:val="20"/>
              </w:rPr>
              <w:t xml:space="preserve"> CZ a.s.)</w:t>
            </w:r>
          </w:p>
        </w:tc>
        <w:tc>
          <w:tcPr>
            <w:tcW w:w="2668" w:type="dxa"/>
            <w:tcBorders>
              <w:top w:val="single" w:sz="4" w:space="0" w:color="auto"/>
              <w:left w:val="single" w:sz="4" w:space="0" w:color="auto"/>
              <w:bottom w:val="single" w:sz="4" w:space="0" w:color="auto"/>
              <w:right w:val="single" w:sz="4" w:space="0" w:color="auto"/>
            </w:tcBorders>
            <w:hideMark/>
          </w:tcPr>
          <w:p w14:paraId="6E977607" w14:textId="77777777" w:rsidR="0047206D" w:rsidRPr="0047206D" w:rsidRDefault="0047206D" w:rsidP="0047206D">
            <w:pPr>
              <w:pStyle w:val="Normln-Odstavec"/>
              <w:tabs>
                <w:tab w:val="clear" w:pos="567"/>
                <w:tab w:val="left" w:pos="708"/>
              </w:tabs>
              <w:spacing w:before="60" w:after="60"/>
              <w:jc w:val="left"/>
              <w:rPr>
                <w:rFonts w:ascii="Arial" w:hAnsi="Arial" w:cs="Arial"/>
                <w:sz w:val="20"/>
                <w:szCs w:val="20"/>
              </w:rPr>
            </w:pPr>
            <w:r w:rsidRPr="0047206D">
              <w:rPr>
                <w:rFonts w:ascii="Arial" w:hAnsi="Arial" w:cs="Arial"/>
                <w:sz w:val="20"/>
                <w:szCs w:val="20"/>
              </w:rPr>
              <w:t>API je k dispozici. IDM disponuje rozhraním webových služeb, které jsou definované v rozšířeném standardu WSDL a podporují protokol SOAP</w:t>
            </w:r>
          </w:p>
        </w:tc>
        <w:tc>
          <w:tcPr>
            <w:tcW w:w="4565" w:type="dxa"/>
            <w:tcBorders>
              <w:top w:val="single" w:sz="4" w:space="0" w:color="auto"/>
              <w:left w:val="single" w:sz="4" w:space="0" w:color="auto"/>
              <w:bottom w:val="single" w:sz="4" w:space="0" w:color="auto"/>
              <w:right w:val="single" w:sz="4" w:space="0" w:color="auto"/>
            </w:tcBorders>
            <w:hideMark/>
          </w:tcPr>
          <w:p w14:paraId="4397EB0C" w14:textId="77777777" w:rsidR="0047206D" w:rsidRPr="0047206D" w:rsidRDefault="0047206D" w:rsidP="0047206D">
            <w:pPr>
              <w:pStyle w:val="Normln-Odstavec"/>
              <w:tabs>
                <w:tab w:val="clear" w:pos="567"/>
                <w:tab w:val="left" w:pos="708"/>
              </w:tabs>
              <w:spacing w:before="60" w:after="60"/>
              <w:jc w:val="left"/>
              <w:rPr>
                <w:rFonts w:ascii="Arial" w:hAnsi="Arial" w:cs="Arial"/>
                <w:sz w:val="20"/>
                <w:szCs w:val="20"/>
              </w:rPr>
            </w:pPr>
            <w:r w:rsidRPr="0047206D">
              <w:rPr>
                <w:rFonts w:ascii="Arial" w:hAnsi="Arial" w:cs="Arial"/>
                <w:sz w:val="20"/>
                <w:szCs w:val="20"/>
              </w:rPr>
              <w:t>API rozhraní – cena za poskytnutí součinnosti při implementaci rozhraní API činí 150 000 Kč bez DPH.</w:t>
            </w:r>
          </w:p>
        </w:tc>
      </w:tr>
    </w:tbl>
    <w:p w14:paraId="16A9EEB5" w14:textId="39776342" w:rsidR="0047206D" w:rsidRDefault="00210BC7" w:rsidP="0047206D">
      <w:r w:rsidRPr="001C6269">
        <w:lastRenderedPageBreak/>
        <w:t>Zadavatel v souladu s § 96 odst. 2 ZZVZ poskytne dodavatelům popis (existujících) API rozhraní informačních systémů podle předchozího odstavce na písemnou žádost a proti podpisu písemného čestného prohlášení dodavatele, že tento popis využije výhradně pro účely přípravy své nabídky na plnění předmětu této veřejné zakázky a s podmínkou, že případné zneužití popisu rozhraní nad rámec uvedeného účelu bude vůči dodavateli sankcionováno částkou 400 000,- Kč.</w:t>
      </w:r>
    </w:p>
    <w:p w14:paraId="0771F415" w14:textId="77777777" w:rsidR="001C6269" w:rsidRDefault="001C6269" w:rsidP="0047206D"/>
    <w:p w14:paraId="44E2C350" w14:textId="77777777" w:rsidR="00802160" w:rsidRPr="00833402" w:rsidRDefault="00802160" w:rsidP="00802160">
      <w:pPr>
        <w:pStyle w:val="Nadpis2"/>
      </w:pPr>
      <w:r w:rsidRPr="00833402">
        <w:t>Popis dokumentace</w:t>
      </w:r>
    </w:p>
    <w:p w14:paraId="359001E4" w14:textId="77777777" w:rsidR="00210BC7" w:rsidRPr="00210BC7" w:rsidRDefault="00210BC7" w:rsidP="00210BC7">
      <w:r>
        <w:t xml:space="preserve">K provozování a řízení rozvoje TC je využívána a udržována základní Provozní dokumentace. </w:t>
      </w:r>
    </w:p>
    <w:p w14:paraId="70A55500" w14:textId="77777777" w:rsidR="00210BC7" w:rsidRDefault="00210BC7" w:rsidP="00210BC7">
      <w:r>
        <w:t>Provozní dokumentace popisuje základní nastavení technologií, hardwarových a softwarových systémů.</w:t>
      </w:r>
    </w:p>
    <w:p w14:paraId="11BAE4A7" w14:textId="77777777" w:rsidR="00210BC7" w:rsidRDefault="00210BC7" w:rsidP="00210BC7">
      <w:r>
        <w:t>Citlivé údaje (přístupové účty apod.) jsou uloženy odděleně od Provozních dokumentací.</w:t>
      </w:r>
    </w:p>
    <w:p w14:paraId="49E293B0" w14:textId="452E08BA" w:rsidR="00210BC7" w:rsidRDefault="00210BC7" w:rsidP="00210BC7">
      <w:r>
        <w:t>Relevantní části dokumentace budou vybranému dodavateli zpřístupněny až po podpisu Smlouvy o dílo.</w:t>
      </w:r>
    </w:p>
    <w:p w14:paraId="52C9157D" w14:textId="0F2ABA5B" w:rsidR="00210BC7" w:rsidRDefault="00210BC7" w:rsidP="00210BC7">
      <w:r>
        <w:t>Účastník je povinen v rámci zakázky zajistit nezbytné doplnění Provozní dokumentace reflektující provedené změny.</w:t>
      </w:r>
    </w:p>
    <w:p w14:paraId="528DC4FC" w14:textId="77777777" w:rsidR="001C6269" w:rsidRPr="00833402" w:rsidRDefault="001C6269" w:rsidP="00210BC7"/>
    <w:p w14:paraId="7D6CBE82" w14:textId="77777777" w:rsidR="00802160" w:rsidRPr="00833402" w:rsidRDefault="00802160" w:rsidP="00802160">
      <w:pPr>
        <w:pStyle w:val="Nadpis2"/>
      </w:pPr>
      <w:r w:rsidRPr="00833402">
        <w:t>Popis způsobu řešení incidentů</w:t>
      </w:r>
    </w:p>
    <w:p w14:paraId="2AE526BA" w14:textId="77777777" w:rsidR="00210BC7" w:rsidRPr="00210BC7" w:rsidRDefault="00210BC7" w:rsidP="00210BC7">
      <w:r>
        <w:t>Zadavatel pro řešení incidentů a podporu uživatelů částečně využívá vlastní jednoduchý evidenční systém.</w:t>
      </w:r>
    </w:p>
    <w:p w14:paraId="340B828A" w14:textId="6FF0FBFC" w:rsidR="00210BC7" w:rsidRDefault="00210BC7" w:rsidP="00210BC7">
      <w:r>
        <w:t>Zadavatel zajišťuje podporu 1. úrovně a většinu běžných problémů jsou schopni vyřešit interní pracovníci zadavatele.</w:t>
      </w:r>
    </w:p>
    <w:p w14:paraId="54F7B34F" w14:textId="389BC139" w:rsidR="00210BC7" w:rsidRDefault="00210BC7" w:rsidP="00210BC7">
      <w:r>
        <w:t xml:space="preserve">Incidenty a požadavky, které nevyřeší interní specialisté, jsou zadávány do </w:t>
      </w:r>
      <w:proofErr w:type="spellStart"/>
      <w:r>
        <w:t>helpdeskových</w:t>
      </w:r>
      <w:proofErr w:type="spellEnd"/>
      <w:r>
        <w:t xml:space="preserve"> systémů dodavatele systému, který vykazuje incident nebo na který směřuje požadavek uživatele. Hlášení incidentů a požadavků je prováděno telefonicky, emailem nebo přímo zadáním ticketu/požadavku do helpdeskového systému dodavatele.</w:t>
      </w:r>
    </w:p>
    <w:p w14:paraId="37C3E9A5" w14:textId="77777777" w:rsidR="001C6269" w:rsidRDefault="001C6269" w:rsidP="00210BC7"/>
    <w:p w14:paraId="595882B9" w14:textId="77777777" w:rsidR="00802160" w:rsidRPr="00833402" w:rsidRDefault="00802160" w:rsidP="00802160">
      <w:pPr>
        <w:pStyle w:val="Nadpis2"/>
      </w:pPr>
      <w:r w:rsidRPr="00833402">
        <w:t>Popis servisních oken</w:t>
      </w:r>
    </w:p>
    <w:p w14:paraId="03663F8D" w14:textId="614223F0" w:rsidR="00210BC7" w:rsidRDefault="00210BC7" w:rsidP="00802160">
      <w:r>
        <w:t>Zadavatel nemá pevně definovaná pravidelná servisní okna. Aplikace aktualizací a oprav virtuálních serverů provádějí specialisté zadavatele dle potřeby a s přihlédnutím k minimalizaci omezení uživatelů.</w:t>
      </w:r>
    </w:p>
    <w:p w14:paraId="57D3438A" w14:textId="77777777" w:rsidR="00802160" w:rsidRDefault="00802160" w:rsidP="00D83922"/>
    <w:p w14:paraId="5F7951A1" w14:textId="4A0DE3C3" w:rsidR="00802160" w:rsidRDefault="001C6269" w:rsidP="00A104BF">
      <w:pPr>
        <w:pStyle w:val="Nadpis1"/>
        <w:rPr>
          <w:sz w:val="24"/>
          <w:szCs w:val="28"/>
        </w:rPr>
      </w:pPr>
      <w:bookmarkStart w:id="2" w:name="_Ref151029521"/>
      <w:r w:rsidRPr="00A104BF">
        <w:rPr>
          <w:sz w:val="24"/>
          <w:szCs w:val="28"/>
        </w:rPr>
        <w:t xml:space="preserve">POŽADOVANÉ </w:t>
      </w:r>
      <w:r>
        <w:rPr>
          <w:sz w:val="24"/>
          <w:szCs w:val="28"/>
        </w:rPr>
        <w:t xml:space="preserve">PARAMETRY TECHNICKÉHO </w:t>
      </w:r>
      <w:r w:rsidRPr="00A104BF">
        <w:rPr>
          <w:sz w:val="24"/>
          <w:szCs w:val="28"/>
        </w:rPr>
        <w:t>ŘEŠENÍ</w:t>
      </w:r>
      <w:bookmarkEnd w:id="2"/>
      <w:r>
        <w:rPr>
          <w:sz w:val="24"/>
          <w:szCs w:val="28"/>
        </w:rPr>
        <w:t xml:space="preserve"> A DODÁVKY</w:t>
      </w:r>
    </w:p>
    <w:p w14:paraId="097B18CF" w14:textId="77777777" w:rsidR="00802160" w:rsidRPr="00AE7E72" w:rsidRDefault="00802160" w:rsidP="00B63497">
      <w:pPr>
        <w:pStyle w:val="Nadpis2"/>
      </w:pPr>
      <w:r w:rsidRPr="00AE7E72">
        <w:t xml:space="preserve">Obecné požadavky </w:t>
      </w:r>
    </w:p>
    <w:p w14:paraId="52737911" w14:textId="77777777" w:rsidR="00802160" w:rsidRPr="001C6269" w:rsidRDefault="00802160" w:rsidP="00781B87">
      <w:pPr>
        <w:pStyle w:val="Odstavecseseznamem"/>
        <w:numPr>
          <w:ilvl w:val="0"/>
          <w:numId w:val="10"/>
        </w:numPr>
        <w:ind w:left="357" w:hanging="357"/>
        <w:contextualSpacing w:val="0"/>
      </w:pPr>
      <w:r w:rsidRPr="00AE7E72">
        <w:t xml:space="preserve">Zadavatel při výstavbě, správě a provozu technologií striktně dodržuje hledisko technologické </w:t>
      </w:r>
      <w:r w:rsidRPr="001C6269">
        <w:t>neutrálnosti, tj. využití technologií takovým způsobem, který neomezuje implementaci technologií různých výrobců – tuto strategii musí splňovat i řešení dodané v rámci této veřejné zakázky.</w:t>
      </w:r>
    </w:p>
    <w:p w14:paraId="32F86009" w14:textId="7845BF43" w:rsidR="00802160" w:rsidRPr="001C6269" w:rsidRDefault="00802160" w:rsidP="00781B87">
      <w:pPr>
        <w:pStyle w:val="Odstavecseseznamem"/>
        <w:numPr>
          <w:ilvl w:val="0"/>
          <w:numId w:val="10"/>
        </w:numPr>
        <w:ind w:left="357" w:hanging="357"/>
        <w:contextualSpacing w:val="0"/>
      </w:pPr>
      <w:r w:rsidRPr="001C6269">
        <w:t xml:space="preserve">Pokud účastník vyžaduje využití konkrétních softwarových produktů a jím zvolený přístup k řešení zadání je na takových konkrétních řešeních závislý, musí jejich pořízení zahrnout ve své nabídce v potřebném rozsahu a v rámci nabídnuté ceny. </w:t>
      </w:r>
    </w:p>
    <w:p w14:paraId="7D891175" w14:textId="3335249B" w:rsidR="00802160" w:rsidRPr="001C6269" w:rsidRDefault="00802160" w:rsidP="00781B87">
      <w:pPr>
        <w:pStyle w:val="Odstavecseseznamem"/>
        <w:numPr>
          <w:ilvl w:val="0"/>
          <w:numId w:val="10"/>
        </w:numPr>
        <w:ind w:left="357" w:hanging="357"/>
        <w:contextualSpacing w:val="0"/>
      </w:pPr>
      <w:r w:rsidRPr="001C6269">
        <w:t xml:space="preserve">Za předpokladu, že účastníkem navržené řešení vyžaduje fyzickou infrastrukturu (např. servery, úložiště, komunikační prvky atd.) neobsaženou v popisu předmětu plnění, zahrne </w:t>
      </w:r>
      <w:r w:rsidR="002A7662" w:rsidRPr="001C6269">
        <w:t xml:space="preserve">účastník </w:t>
      </w:r>
      <w:r w:rsidRPr="001C6269">
        <w:t>do své ceny všechny náklady na její pořízení, instalaci, konfiguraci a další služby potřebné pro uvedení do provozu.</w:t>
      </w:r>
    </w:p>
    <w:p w14:paraId="0E6FADB1" w14:textId="629ADE76" w:rsidR="00802160" w:rsidRPr="001C6269" w:rsidRDefault="00802160" w:rsidP="00781B87">
      <w:pPr>
        <w:pStyle w:val="Odstavecseseznamem"/>
        <w:numPr>
          <w:ilvl w:val="0"/>
          <w:numId w:val="10"/>
        </w:numPr>
        <w:ind w:left="357" w:hanging="357"/>
        <w:contextualSpacing w:val="0"/>
      </w:pPr>
      <w:r w:rsidRPr="001C6269">
        <w:lastRenderedPageBreak/>
        <w:t xml:space="preserve">Pro každý softwarový produkt, který </w:t>
      </w:r>
      <w:r w:rsidR="002A7662" w:rsidRPr="001C6269">
        <w:t xml:space="preserve">účastník </w:t>
      </w:r>
      <w:r w:rsidRPr="001C6269">
        <w:t>nabídne v rámci svého řešení, budou v nabídce výslovně uvedeny všechny licenční nebo výkonové požadavky spojené s instalací a provozem řešení, včetně uvedení konkrétní infrastruktury, na které bude řešení provozováno.</w:t>
      </w:r>
    </w:p>
    <w:p w14:paraId="6D672043" w14:textId="7520F5A8" w:rsidR="00802160" w:rsidRPr="001C6269" w:rsidRDefault="002A7662" w:rsidP="00781B87">
      <w:pPr>
        <w:pStyle w:val="Odstavecseseznamem"/>
        <w:numPr>
          <w:ilvl w:val="0"/>
          <w:numId w:val="10"/>
        </w:numPr>
        <w:ind w:left="357" w:hanging="357"/>
        <w:contextualSpacing w:val="0"/>
      </w:pPr>
      <w:r w:rsidRPr="001C6269">
        <w:t xml:space="preserve">Účastník </w:t>
      </w:r>
      <w:r w:rsidR="00802160" w:rsidRPr="001C6269">
        <w:t xml:space="preserve">ve své nabídce detailně popíše vazby na stávající systémy </w:t>
      </w:r>
      <w:r w:rsidRPr="001C6269">
        <w:t>z</w:t>
      </w:r>
      <w:r w:rsidR="00802160" w:rsidRPr="001C6269">
        <w:t xml:space="preserve">adavatele, které jsou nezbytné pro správné fungování řešení nabízeného </w:t>
      </w:r>
      <w:r w:rsidRPr="001C6269">
        <w:t>účastníkem</w:t>
      </w:r>
      <w:r w:rsidR="00802160" w:rsidRPr="001C6269">
        <w:t>.</w:t>
      </w:r>
    </w:p>
    <w:p w14:paraId="284D96B0" w14:textId="34F714A2" w:rsidR="00802160" w:rsidRDefault="00802160" w:rsidP="00781B87">
      <w:pPr>
        <w:pStyle w:val="Odstavecseseznamem"/>
        <w:numPr>
          <w:ilvl w:val="0"/>
          <w:numId w:val="10"/>
        </w:numPr>
        <w:ind w:left="357" w:hanging="357"/>
        <w:contextualSpacing w:val="0"/>
      </w:pPr>
      <w:r w:rsidRPr="00AE7E72">
        <w:t xml:space="preserve">Zadavatel z důvodů co nejjednodušší a jednotné správy a minimalizace provozních nákladů vyžaduje využití stávajících prostředků a používaných technologií. V případě, že </w:t>
      </w:r>
      <w:r w:rsidR="002A7662">
        <w:t>účastník</w:t>
      </w:r>
      <w:r w:rsidR="002A7662" w:rsidRPr="00AE7E72">
        <w:t xml:space="preserve"> </w:t>
      </w:r>
      <w:r w:rsidRPr="00AE7E72">
        <w:t>vyžaduje ve svém řešení stejné nebo podobné funkce, jaké poskytují stávající prostředky a technologie, je povinen využít nebo vhodným způsobem rozšířit stávající prostředky – není přípustné implementovat např. další serverovou virtualizační platformu, adresářovou službu apod.</w:t>
      </w:r>
    </w:p>
    <w:p w14:paraId="1391CB6D" w14:textId="77777777" w:rsidR="001C6269" w:rsidRPr="00AE7E72" w:rsidRDefault="001C6269" w:rsidP="001C6269"/>
    <w:p w14:paraId="7BF60E6E" w14:textId="570A3BBC" w:rsidR="006D28C2" w:rsidRDefault="003629EE" w:rsidP="00210BC7">
      <w:pPr>
        <w:pStyle w:val="Nadpis2"/>
      </w:pPr>
      <w:r>
        <w:t xml:space="preserve">Specifické </w:t>
      </w:r>
      <w:r w:rsidR="00210BC7">
        <w:t xml:space="preserve">požadavky </w:t>
      </w:r>
      <w:r w:rsidR="00C845B0">
        <w:t>A</w:t>
      </w:r>
      <w:r w:rsidR="00210BC7">
        <w:t>1</w:t>
      </w:r>
      <w:r w:rsidR="00C845B0">
        <w:t>5</w:t>
      </w:r>
      <w:r w:rsidR="00210BC7">
        <w:t xml:space="preserve"> – </w:t>
      </w:r>
      <w:r w:rsidR="00C845B0" w:rsidRPr="00C845B0">
        <w:t>Rozšíření modulu K2 – elektronická fakturace</w:t>
      </w:r>
    </w:p>
    <w:p w14:paraId="0EF97EB0" w14:textId="7A2E85CA" w:rsidR="00C845B0" w:rsidRDefault="00C845B0" w:rsidP="00C845B0">
      <w:r w:rsidRPr="00C845B0">
        <w:t>Rozšíření</w:t>
      </w:r>
      <w:r w:rsidR="001447CF">
        <w:t xml:space="preserve"> stávajícího</w:t>
      </w:r>
      <w:r w:rsidRPr="00C845B0">
        <w:t xml:space="preserve"> modulu K2</w:t>
      </w:r>
      <w:r w:rsidR="001447CF">
        <w:t xml:space="preserve"> (elektronické spisové služby)</w:t>
      </w:r>
      <w:r w:rsidRPr="00C845B0">
        <w:t xml:space="preserve"> </w:t>
      </w:r>
      <w:r>
        <w:t>zajistí automatické vyzvednutí elektronické faktury, zajistí zpracování dle platné legislativy a předání do e-fakturace.</w:t>
      </w:r>
    </w:p>
    <w:p w14:paraId="7E780499" w14:textId="36705855" w:rsidR="00C845B0" w:rsidRDefault="00C845B0" w:rsidP="00C845B0">
      <w:r>
        <w:t>Od 1.1.2019 platí povinnost ústředních orgánů státní správy a jimi podřízených organizačních složek státu stanovená usnesením vlády č. 347 ze dne 10. 5. 2017 přijímat elektronické faktury ve formátech stanovených Evropskou směrnicí 2014/55/EU a dále ve formátu ISDOC/ISDOCX (</w:t>
      </w:r>
      <w:proofErr w:type="spellStart"/>
      <w:r>
        <w:t>Information</w:t>
      </w:r>
      <w:proofErr w:type="spellEnd"/>
      <w:r>
        <w:t xml:space="preserve"> System </w:t>
      </w:r>
      <w:proofErr w:type="spellStart"/>
      <w:r>
        <w:t>Document</w:t>
      </w:r>
      <w:proofErr w:type="spellEnd"/>
      <w:r>
        <w:t xml:space="preserve">) verze 5.2 a vyšší. </w:t>
      </w:r>
    </w:p>
    <w:p w14:paraId="5CF83F16" w14:textId="18E27E7E" w:rsidR="00C845B0" w:rsidRDefault="00C845B0" w:rsidP="00210BC7">
      <w:r>
        <w:t>Od 1. 4. 2020 – povinnost zadavatelů veřejných zakázek uvedených v §4 odst. 1, písmeno b) až e) (všichni ostatní zadavatelé) zákona č. 134/2016 Sb., o zadávání veřejných zakázek stanovená v §279 odst. 5 písm. b) přijímat a zpracovávat elektronické faktury odpovídající evropské normě pro elektronickou fakturaci EN 16931-1:2017.</w:t>
      </w:r>
    </w:p>
    <w:p w14:paraId="1B7EE430" w14:textId="0CD63CC8" w:rsidR="00053C60" w:rsidRDefault="00C845B0" w:rsidP="00C845B0">
      <w:r>
        <w:t>Technické řešení umožní rozšíření stávající položky KDF (Kniha došlých faktur) o podpoložku e-fakturace a znamená zautomatizování celého procesu práce s elektronickou fakturou.</w:t>
      </w:r>
    </w:p>
    <w:p w14:paraId="5E0CF46E" w14:textId="11E67F2E" w:rsidR="00C845B0" w:rsidRDefault="00C845B0" w:rsidP="00C845B0">
      <w:r>
        <w:t xml:space="preserve">Pokud elektronická faktura přijde, stačí ji importovat do systému GINIS a veškeré údaje v ní obsažené se automaticky vytěží do předem připravených polí. Tím se značně eliminuje chybovost, která jinak může vzniknout při ručním přepisování údajů. </w:t>
      </w:r>
    </w:p>
    <w:p w14:paraId="4A1C18D5" w14:textId="6453F354" w:rsidR="00053C60" w:rsidRDefault="00C845B0" w:rsidP="00C845B0">
      <w:r w:rsidRPr="00C845B0">
        <w:t xml:space="preserve">Rozšíření modulu K2 </w:t>
      </w:r>
      <w:r>
        <w:t xml:space="preserve">zajistí </w:t>
      </w:r>
      <w:r w:rsidR="00053C60">
        <w:t xml:space="preserve">automatické </w:t>
      </w:r>
      <w:r>
        <w:t>zpracov</w:t>
      </w:r>
      <w:r w:rsidR="00053C60">
        <w:t>ání</w:t>
      </w:r>
      <w:r>
        <w:t xml:space="preserve"> elektronické </w:t>
      </w:r>
      <w:r w:rsidR="00053C60">
        <w:t>faktury – z</w:t>
      </w:r>
      <w:r>
        <w:t xml:space="preserve"> přijaté elektronické faktury </w:t>
      </w:r>
      <w:r w:rsidR="00053C60">
        <w:t>se do</w:t>
      </w:r>
      <w:r>
        <w:t xml:space="preserve"> souboru XML</w:t>
      </w:r>
      <w:r w:rsidR="00053C60">
        <w:t xml:space="preserve"> </w:t>
      </w:r>
      <w:r>
        <w:t>automatizovaně vytěž</w:t>
      </w:r>
      <w:r w:rsidR="00053C60">
        <w:t>í</w:t>
      </w:r>
      <w:r>
        <w:t xml:space="preserve"> dostupné údaje a na základě nich</w:t>
      </w:r>
      <w:r w:rsidR="00053C60">
        <w:t xml:space="preserve"> se automaticky </w:t>
      </w:r>
      <w:r>
        <w:t>urč</w:t>
      </w:r>
      <w:r w:rsidR="00053C60">
        <w:t>í min. následující položky:</w:t>
      </w:r>
    </w:p>
    <w:p w14:paraId="4B1FC16B" w14:textId="1591DB99" w:rsidR="00053C60" w:rsidRDefault="00C845B0" w:rsidP="00053C60">
      <w:pPr>
        <w:pStyle w:val="Odstavecseseznamem"/>
        <w:numPr>
          <w:ilvl w:val="0"/>
          <w:numId w:val="14"/>
        </w:numPr>
        <w:ind w:left="714" w:hanging="357"/>
        <w:contextualSpacing w:val="0"/>
      </w:pPr>
      <w:r>
        <w:t xml:space="preserve">typ dokladu, </w:t>
      </w:r>
    </w:p>
    <w:p w14:paraId="05443D6A" w14:textId="55BD86F7" w:rsidR="00C845B0" w:rsidRDefault="00C845B0" w:rsidP="00053C60">
      <w:pPr>
        <w:pStyle w:val="Odstavecseseznamem"/>
        <w:numPr>
          <w:ilvl w:val="0"/>
          <w:numId w:val="14"/>
        </w:numPr>
        <w:ind w:left="714" w:hanging="357"/>
        <w:contextualSpacing w:val="0"/>
      </w:pPr>
      <w:r>
        <w:t>položky věcného profilu,</w:t>
      </w:r>
    </w:p>
    <w:p w14:paraId="79AF226B" w14:textId="50405B14" w:rsidR="00053C60" w:rsidRDefault="00C845B0" w:rsidP="00053C60">
      <w:pPr>
        <w:pStyle w:val="Odstavecseseznamem"/>
        <w:numPr>
          <w:ilvl w:val="0"/>
          <w:numId w:val="14"/>
        </w:numPr>
        <w:ind w:left="714" w:hanging="357"/>
        <w:contextualSpacing w:val="0"/>
      </w:pPr>
      <w:r>
        <w:t xml:space="preserve">částku, </w:t>
      </w:r>
    </w:p>
    <w:p w14:paraId="04EA8F1F" w14:textId="48EB54EE" w:rsidR="00053C60" w:rsidRDefault="00C845B0" w:rsidP="00053C60">
      <w:pPr>
        <w:pStyle w:val="Odstavecseseznamem"/>
        <w:numPr>
          <w:ilvl w:val="0"/>
          <w:numId w:val="14"/>
        </w:numPr>
        <w:ind w:left="714" w:hanging="357"/>
        <w:contextualSpacing w:val="0"/>
      </w:pPr>
      <w:r>
        <w:t xml:space="preserve">dodavatele, </w:t>
      </w:r>
    </w:p>
    <w:p w14:paraId="0F828D3A" w14:textId="569E0039" w:rsidR="00053C60" w:rsidRDefault="00C845B0" w:rsidP="00053C60">
      <w:pPr>
        <w:pStyle w:val="Odstavecseseznamem"/>
        <w:numPr>
          <w:ilvl w:val="0"/>
          <w:numId w:val="14"/>
        </w:numPr>
        <w:ind w:left="714" w:hanging="357"/>
        <w:contextualSpacing w:val="0"/>
      </w:pPr>
      <w:r>
        <w:t xml:space="preserve">platební údaje, </w:t>
      </w:r>
    </w:p>
    <w:p w14:paraId="048BBDF7" w14:textId="77777777" w:rsidR="00053C60" w:rsidRDefault="00C845B0" w:rsidP="00053C60">
      <w:pPr>
        <w:pStyle w:val="Odstavecseseznamem"/>
        <w:numPr>
          <w:ilvl w:val="0"/>
          <w:numId w:val="14"/>
        </w:numPr>
        <w:ind w:left="714" w:hanging="357"/>
        <w:contextualSpacing w:val="0"/>
      </w:pPr>
      <w:r>
        <w:t xml:space="preserve">datum splatnosti, </w:t>
      </w:r>
    </w:p>
    <w:p w14:paraId="6BDD8EA6" w14:textId="4E5741FF" w:rsidR="00053C60" w:rsidRDefault="00C845B0" w:rsidP="00053C60">
      <w:pPr>
        <w:pStyle w:val="Odstavecseseznamem"/>
        <w:numPr>
          <w:ilvl w:val="0"/>
          <w:numId w:val="14"/>
        </w:numPr>
        <w:ind w:left="714" w:hanging="357"/>
        <w:contextualSpacing w:val="0"/>
      </w:pPr>
      <w:r>
        <w:t>datum</w:t>
      </w:r>
      <w:r w:rsidR="00053C60">
        <w:t xml:space="preserve"> </w:t>
      </w:r>
      <w:r>
        <w:t xml:space="preserve">zdanitelného plnění, </w:t>
      </w:r>
    </w:p>
    <w:p w14:paraId="10204864" w14:textId="1B1BD39D" w:rsidR="00053C60" w:rsidRDefault="00C845B0" w:rsidP="00053C60">
      <w:pPr>
        <w:pStyle w:val="Odstavecseseznamem"/>
        <w:numPr>
          <w:ilvl w:val="0"/>
          <w:numId w:val="14"/>
        </w:numPr>
        <w:ind w:left="714" w:hanging="357"/>
        <w:contextualSpacing w:val="0"/>
      </w:pPr>
      <w:r>
        <w:t xml:space="preserve">rekapitulaci DPH, </w:t>
      </w:r>
    </w:p>
    <w:p w14:paraId="5A8627B7" w14:textId="5041B9BB" w:rsidR="00210BC7" w:rsidRDefault="00C845B0" w:rsidP="0064353F">
      <w:r>
        <w:t>apod., pokud jsou v</w:t>
      </w:r>
      <w:r w:rsidR="00053C60">
        <w:t xml:space="preserve"> </w:t>
      </w:r>
      <w:r>
        <w:t>XML souboru</w:t>
      </w:r>
      <w:r w:rsidR="00053C60">
        <w:t xml:space="preserve"> (fak</w:t>
      </w:r>
      <w:r w:rsidR="00954F63">
        <w:t>t</w:t>
      </w:r>
      <w:r w:rsidR="00053C60">
        <w:t>uře)</w:t>
      </w:r>
      <w:r>
        <w:t xml:space="preserve"> uvedeny.</w:t>
      </w:r>
    </w:p>
    <w:p w14:paraId="26FFB180" w14:textId="77777777" w:rsidR="001C6269" w:rsidRDefault="001C6269" w:rsidP="0064353F"/>
    <w:p w14:paraId="43AD935C" w14:textId="3098B8ED" w:rsidR="003629EE" w:rsidRDefault="003629EE" w:rsidP="003629EE">
      <w:pPr>
        <w:pStyle w:val="Nadpis2"/>
      </w:pPr>
      <w:r>
        <w:t xml:space="preserve">Specifické požadavky </w:t>
      </w:r>
      <w:r w:rsidR="009E508B">
        <w:t>A16</w:t>
      </w:r>
      <w:r>
        <w:t xml:space="preserve"> – </w:t>
      </w:r>
      <w:r w:rsidR="009E508B" w:rsidRPr="009E508B">
        <w:t>Rozšíření modulu K2 – automatizované zpracování</w:t>
      </w:r>
      <w:r w:rsidR="009E508B">
        <w:t xml:space="preserve"> dokumentů</w:t>
      </w:r>
    </w:p>
    <w:p w14:paraId="4E2871A9" w14:textId="7E058D75" w:rsidR="00397D24" w:rsidRDefault="009E508B" w:rsidP="009E508B">
      <w:r w:rsidRPr="00C845B0">
        <w:t xml:space="preserve">Rozšíření </w:t>
      </w:r>
      <w:r w:rsidR="001447CF">
        <w:t>stávajícího</w:t>
      </w:r>
      <w:r w:rsidR="001447CF" w:rsidRPr="00C845B0">
        <w:t xml:space="preserve"> modulu K2</w:t>
      </w:r>
      <w:r w:rsidR="001447CF">
        <w:t xml:space="preserve"> (elektronické spisové služby) </w:t>
      </w:r>
      <w:r>
        <w:t>zajistí a</w:t>
      </w:r>
      <w:r w:rsidRPr="009E508B">
        <w:t>utomatizované třídění a zpracování velkého množství elektronických podání</w:t>
      </w:r>
      <w:r>
        <w:t>.</w:t>
      </w:r>
      <w:r w:rsidR="00397D24">
        <w:t xml:space="preserve"> Dojde tak k a</w:t>
      </w:r>
      <w:r w:rsidRPr="009E508B">
        <w:t>utomatizac</w:t>
      </w:r>
      <w:r w:rsidR="00397D24">
        <w:t>i</w:t>
      </w:r>
      <w:r w:rsidRPr="009E508B">
        <w:t xml:space="preserve"> procesů souvisejících s opakujícími</w:t>
      </w:r>
      <w:r>
        <w:t xml:space="preserve"> </w:t>
      </w:r>
      <w:r w:rsidRPr="009E508B">
        <w:t>se elektronickými podáními s velkou dávkou</w:t>
      </w:r>
      <w:r>
        <w:t xml:space="preserve"> </w:t>
      </w:r>
      <w:r w:rsidRPr="009E508B">
        <w:t xml:space="preserve">uživatelského nastavení zpracování. </w:t>
      </w:r>
    </w:p>
    <w:p w14:paraId="5D943E91" w14:textId="35F67767" w:rsidR="009E508B" w:rsidRPr="009E508B" w:rsidRDefault="009E508B" w:rsidP="009E508B">
      <w:r w:rsidRPr="009E508B">
        <w:lastRenderedPageBreak/>
        <w:t>Elektronická</w:t>
      </w:r>
      <w:r>
        <w:t xml:space="preserve"> </w:t>
      </w:r>
      <w:r w:rsidRPr="009E508B">
        <w:t xml:space="preserve">podání doručená organizaci </w:t>
      </w:r>
      <w:r w:rsidR="00397D24">
        <w:t>budou</w:t>
      </w:r>
      <w:r w:rsidRPr="009E508B">
        <w:t xml:space="preserve"> již při vstupu</w:t>
      </w:r>
      <w:r>
        <w:t xml:space="preserve"> </w:t>
      </w:r>
      <w:r w:rsidRPr="009E508B">
        <w:t>roztříděna podle konfigurace pro automatické</w:t>
      </w:r>
      <w:r>
        <w:t xml:space="preserve"> </w:t>
      </w:r>
      <w:r w:rsidRPr="009E508B">
        <w:t>či manuální zpracování. Ta, která jsou určená</w:t>
      </w:r>
      <w:r>
        <w:t xml:space="preserve"> </w:t>
      </w:r>
      <w:r w:rsidRPr="009E508B">
        <w:t xml:space="preserve">pro automatické podání, </w:t>
      </w:r>
      <w:r w:rsidR="00397D24">
        <w:t>budou</w:t>
      </w:r>
      <w:r w:rsidRPr="009E508B">
        <w:t xml:space="preserve"> následně automatem dle</w:t>
      </w:r>
      <w:r>
        <w:t xml:space="preserve"> </w:t>
      </w:r>
      <w:r w:rsidRPr="009E508B">
        <w:t>jeho konfigurace zpracována se všemi legislativními</w:t>
      </w:r>
      <w:r>
        <w:t xml:space="preserve"> </w:t>
      </w:r>
      <w:r w:rsidRPr="009E508B">
        <w:t>kroky a náležitostmi.</w:t>
      </w:r>
      <w:r>
        <w:t xml:space="preserve">  </w:t>
      </w:r>
    </w:p>
    <w:p w14:paraId="77939276" w14:textId="445325B5" w:rsidR="009E508B" w:rsidRPr="00397D24" w:rsidRDefault="009E508B" w:rsidP="009E508B">
      <w:r w:rsidRPr="009E508B">
        <w:t xml:space="preserve">V rámci uživatelské konfigurace </w:t>
      </w:r>
      <w:r w:rsidR="00397D24">
        <w:t>musí být možné</w:t>
      </w:r>
      <w:r w:rsidRPr="009E508B">
        <w:t xml:space="preserve"> definovat způsob</w:t>
      </w:r>
      <w:r>
        <w:t xml:space="preserve"> </w:t>
      </w:r>
      <w:r w:rsidRPr="009E508B">
        <w:t>a výsledek zpracování dokumentu a jeho distribuci</w:t>
      </w:r>
      <w:r>
        <w:t xml:space="preserve"> </w:t>
      </w:r>
      <w:r w:rsidRPr="009E508B">
        <w:t>správné osobě k dalšímu řešení</w:t>
      </w:r>
      <w:r w:rsidR="00397D24">
        <w:t xml:space="preserve">, to je zásadní např. pro </w:t>
      </w:r>
      <w:r w:rsidRPr="009E508B">
        <w:t>zpracování elektronických podání od jiných úřadů</w:t>
      </w:r>
      <w:r>
        <w:t xml:space="preserve"> </w:t>
      </w:r>
      <w:r w:rsidRPr="009E508B">
        <w:t>či organizací, která jsou pevně dána (podání od policie,</w:t>
      </w:r>
      <w:r>
        <w:t xml:space="preserve"> </w:t>
      </w:r>
      <w:r w:rsidRPr="009E508B">
        <w:t>mobilních operátorů, …). Z úspěšně zpracovaného</w:t>
      </w:r>
      <w:r>
        <w:t xml:space="preserve"> </w:t>
      </w:r>
      <w:r w:rsidRPr="009E508B">
        <w:t>elektronického podání automaticky podle konfigurace</w:t>
      </w:r>
      <w:r>
        <w:t xml:space="preserve"> </w:t>
      </w:r>
      <w:r w:rsidRPr="009E508B">
        <w:t>vzniká dokument (spis) a ten může být předán</w:t>
      </w:r>
      <w:r>
        <w:t xml:space="preserve"> </w:t>
      </w:r>
      <w:r w:rsidRPr="009E508B">
        <w:t>k dalšímu zpracování do organizace.</w:t>
      </w:r>
    </w:p>
    <w:p w14:paraId="2DA1571C" w14:textId="6BF77274" w:rsidR="009E508B" w:rsidRPr="00397D24" w:rsidRDefault="00397D24" w:rsidP="009E508B">
      <w:pPr>
        <w:rPr>
          <w:rFonts w:ascii="Times New Roman" w:hAnsi="Times New Roman"/>
        </w:rPr>
      </w:pPr>
      <w:r w:rsidRPr="00C845B0">
        <w:t xml:space="preserve">Rozšíření modulu K2 </w:t>
      </w:r>
      <w:r>
        <w:t>zajistí:</w:t>
      </w:r>
    </w:p>
    <w:p w14:paraId="219791CF" w14:textId="77777777" w:rsidR="009E508B" w:rsidRPr="009E508B" w:rsidRDefault="009E508B" w:rsidP="00397D24">
      <w:pPr>
        <w:pStyle w:val="Odstavecseseznamem"/>
        <w:numPr>
          <w:ilvl w:val="0"/>
          <w:numId w:val="35"/>
        </w:numPr>
        <w:contextualSpacing w:val="0"/>
      </w:pPr>
      <w:r w:rsidRPr="009E508B">
        <w:t>Automatizované třídění a zpracování velkého množství elektronických podání.</w:t>
      </w:r>
    </w:p>
    <w:p w14:paraId="4EC1745C" w14:textId="05E467DD" w:rsidR="009E508B" w:rsidRPr="009E508B" w:rsidRDefault="009E508B" w:rsidP="00397D24">
      <w:pPr>
        <w:pStyle w:val="Odstavecseseznamem"/>
        <w:numPr>
          <w:ilvl w:val="0"/>
          <w:numId w:val="35"/>
        </w:numPr>
        <w:ind w:left="714" w:hanging="357"/>
        <w:contextualSpacing w:val="0"/>
      </w:pPr>
      <w:r w:rsidRPr="009E508B">
        <w:t>Širok</w:t>
      </w:r>
      <w:r w:rsidR="00397D24">
        <w:t>ou</w:t>
      </w:r>
      <w:r w:rsidRPr="009E508B">
        <w:t xml:space="preserve"> škál</w:t>
      </w:r>
      <w:r w:rsidR="00397D24">
        <w:t>o</w:t>
      </w:r>
      <w:r w:rsidRPr="009E508B">
        <w:t xml:space="preserve"> konfigurace – možnost nastavit pravidla pro zpracování a distribuci podání.</w:t>
      </w:r>
    </w:p>
    <w:p w14:paraId="6E99D62B" w14:textId="77777777" w:rsidR="009E508B" w:rsidRPr="009E508B" w:rsidRDefault="009E508B" w:rsidP="00397D24">
      <w:pPr>
        <w:pStyle w:val="Odstavecseseznamem"/>
        <w:numPr>
          <w:ilvl w:val="0"/>
          <w:numId w:val="35"/>
        </w:numPr>
        <w:ind w:left="714" w:hanging="357"/>
        <w:contextualSpacing w:val="0"/>
      </w:pPr>
      <w:r w:rsidRPr="009E508B">
        <w:t>Možnost manuálního i automatického zpracování podle definovaných pravidel.</w:t>
      </w:r>
    </w:p>
    <w:p w14:paraId="1EBA2D47" w14:textId="610118D6" w:rsidR="009E508B" w:rsidRPr="009E508B" w:rsidRDefault="009E508B" w:rsidP="00397D24">
      <w:pPr>
        <w:pStyle w:val="Odstavecseseznamem"/>
        <w:numPr>
          <w:ilvl w:val="0"/>
          <w:numId w:val="35"/>
        </w:numPr>
        <w:ind w:left="714" w:hanging="357"/>
        <w:contextualSpacing w:val="0"/>
      </w:pPr>
      <w:r w:rsidRPr="009E508B">
        <w:t>Legislativní shod</w:t>
      </w:r>
      <w:r w:rsidR="00397D24">
        <w:t>u</w:t>
      </w:r>
      <w:r w:rsidRPr="009E508B">
        <w:t xml:space="preserve"> – zpracování podání v souladu s legislativními požadavky.</w:t>
      </w:r>
    </w:p>
    <w:p w14:paraId="6767C7CB" w14:textId="77777777" w:rsidR="009E508B" w:rsidRPr="009E508B" w:rsidRDefault="009E508B" w:rsidP="00397D24">
      <w:pPr>
        <w:pStyle w:val="Odstavecseseznamem"/>
        <w:numPr>
          <w:ilvl w:val="0"/>
          <w:numId w:val="35"/>
        </w:numPr>
        <w:ind w:left="714" w:hanging="357"/>
        <w:contextualSpacing w:val="0"/>
      </w:pPr>
      <w:r w:rsidRPr="009E508B">
        <w:t>Generování dokumentu (spisu) z úspěšně zpracovaného podání.</w:t>
      </w:r>
    </w:p>
    <w:p w14:paraId="3A6B204E" w14:textId="77777777" w:rsidR="009E508B" w:rsidRDefault="009E508B" w:rsidP="009E508B">
      <w:pPr>
        <w:rPr>
          <w:rFonts w:ascii="Times New Roman" w:hAnsi="Times New Roman"/>
        </w:rPr>
      </w:pPr>
    </w:p>
    <w:p w14:paraId="3DC52337" w14:textId="0A61CDB6" w:rsidR="003629EE" w:rsidRDefault="003629EE" w:rsidP="003629EE">
      <w:pPr>
        <w:pStyle w:val="Nadpis2"/>
        <w:rPr>
          <w:rFonts w:eastAsia="MS ??"/>
        </w:rPr>
      </w:pPr>
      <w:r>
        <w:rPr>
          <w:rFonts w:eastAsia="MS ??"/>
        </w:rPr>
        <w:t xml:space="preserve">Specifické požadavky </w:t>
      </w:r>
      <w:r w:rsidR="00F42D12">
        <w:rPr>
          <w:rFonts w:eastAsia="MS ??"/>
        </w:rPr>
        <w:t>A17 – Rozšíření</w:t>
      </w:r>
      <w:r w:rsidR="00F42D12" w:rsidRPr="00F42D12">
        <w:rPr>
          <w:rFonts w:eastAsia="MS ??"/>
        </w:rPr>
        <w:t xml:space="preserve"> modulu K2 – strojové učení</w:t>
      </w:r>
      <w:r>
        <w:rPr>
          <w:rFonts w:eastAsia="MS ??"/>
        </w:rPr>
        <w:t xml:space="preserve"> </w:t>
      </w:r>
    </w:p>
    <w:p w14:paraId="642BD041" w14:textId="39910932" w:rsidR="009927C4" w:rsidRDefault="009927C4" w:rsidP="003629EE">
      <w:r w:rsidRPr="00C845B0">
        <w:t xml:space="preserve">Rozšíření </w:t>
      </w:r>
      <w:r w:rsidR="001447CF">
        <w:t>stávajícího</w:t>
      </w:r>
      <w:r w:rsidR="001447CF" w:rsidRPr="00C845B0">
        <w:t xml:space="preserve"> modulu K2</w:t>
      </w:r>
      <w:r w:rsidR="001447CF">
        <w:t xml:space="preserve"> (elektronické spisové služby)</w:t>
      </w:r>
      <w:r w:rsidR="001447CF" w:rsidRPr="00C845B0">
        <w:t xml:space="preserve"> </w:t>
      </w:r>
      <w:r>
        <w:t xml:space="preserve">zajistí </w:t>
      </w:r>
      <w:r w:rsidRPr="003F43E1">
        <w:t>zvýšení přesnosti evidence metadat</w:t>
      </w:r>
      <w:r>
        <w:t xml:space="preserve"> a </w:t>
      </w:r>
      <w:r w:rsidRPr="003F43E1">
        <w:t>efektivnější prác</w:t>
      </w:r>
      <w:r>
        <w:t>i</w:t>
      </w:r>
      <w:r w:rsidRPr="003F43E1">
        <w:t xml:space="preserve"> pracovníků podatelny</w:t>
      </w:r>
      <w:r>
        <w:t>.</w:t>
      </w:r>
    </w:p>
    <w:p w14:paraId="389C7B81" w14:textId="77777777" w:rsidR="009927C4" w:rsidRDefault="009927C4" w:rsidP="00F42D12">
      <w:r>
        <w:t>Ve standardním provozu přichází n</w:t>
      </w:r>
      <w:r w:rsidR="00F42D12" w:rsidRPr="003F43E1">
        <w:t xml:space="preserve">a podatelnu denně stovky dokumentů. Pracovníci podatelny musí každému dokumentu přiřadit metadata, např. zařadit správný typ dokumentu (např. smlouva, objednávka, žádost, přihláška atp.) a následně určit na který spisový uzel (odbor, oddělení, pracoviště) dokument předat. Mnoho dokumentů lze už dnes řešit automatizovaně pomocí pravidel, např. ty, které přijdou přes datové schránky a obsahují již existující číslo jednací, faktury atp. </w:t>
      </w:r>
    </w:p>
    <w:p w14:paraId="75139F0F" w14:textId="2C5889ED" w:rsidR="00F42D12" w:rsidRPr="003F43E1" w:rsidRDefault="00F42D12" w:rsidP="00F42D12">
      <w:r w:rsidRPr="003F43E1">
        <w:t>Přesto stále zůstává významná množina dokumentů, které je třeba třídit ručně (průměrně přes 60</w:t>
      </w:r>
      <w:r w:rsidR="009927C4">
        <w:t xml:space="preserve"> </w:t>
      </w:r>
      <w:r w:rsidRPr="003F43E1">
        <w:t xml:space="preserve">%, záleží na typu organizace.) Obsluha musí každý </w:t>
      </w:r>
      <w:r w:rsidR="009927C4" w:rsidRPr="003F43E1">
        <w:t xml:space="preserve">takový </w:t>
      </w:r>
      <w:r w:rsidRPr="003F43E1">
        <w:t>dokument otevřít ke kontrole a doplnit požadované údaje (metadata). Přesnost a následné „toulání“ dokumentu po organizaci je tak přímo ovlivněna praxí a zkušeností daného pracovníka podatelny.</w:t>
      </w:r>
    </w:p>
    <w:p w14:paraId="63CC4F3B" w14:textId="1F91BC7B" w:rsidR="00F42D12" w:rsidRDefault="009927C4" w:rsidP="00F42D12">
      <w:r w:rsidRPr="00C845B0">
        <w:t xml:space="preserve">Rozšíření modulu K2 </w:t>
      </w:r>
      <w:r>
        <w:t>bude využívat</w:t>
      </w:r>
      <w:r w:rsidR="00F42D12" w:rsidRPr="003F43E1">
        <w:t xml:space="preserve"> funkcionalit</w:t>
      </w:r>
      <w:r>
        <w:t>u</w:t>
      </w:r>
      <w:r w:rsidR="00F42D12" w:rsidRPr="003F43E1">
        <w:t xml:space="preserve"> </w:t>
      </w:r>
      <w:r>
        <w:t>tzv. strojového učení</w:t>
      </w:r>
      <w:r w:rsidR="00F42D12" w:rsidRPr="003F43E1">
        <w:t xml:space="preserve">, která na základě historických dat natrénuje lokální model, který dokáže významným způsobem velmi zpřesnit evidenci potřebných metadat. </w:t>
      </w:r>
    </w:p>
    <w:p w14:paraId="29C64301" w14:textId="77777777" w:rsidR="001C6269" w:rsidRDefault="001C6269" w:rsidP="00F42D12"/>
    <w:p w14:paraId="3936D19C" w14:textId="3A495172" w:rsidR="009927C4" w:rsidRPr="003F43E1" w:rsidRDefault="009927C4" w:rsidP="00F42D12">
      <w:r>
        <w:t>Rozšíření modulu K2 zajistí alespoň:</w:t>
      </w:r>
    </w:p>
    <w:p w14:paraId="5E7B3657" w14:textId="2A669171" w:rsidR="00F42D12" w:rsidRPr="003F43E1" w:rsidRDefault="009927C4" w:rsidP="009927C4">
      <w:pPr>
        <w:pStyle w:val="Odstavecseseznamem"/>
        <w:numPr>
          <w:ilvl w:val="0"/>
          <w:numId w:val="38"/>
        </w:numPr>
        <w:contextualSpacing w:val="0"/>
      </w:pPr>
      <w:r>
        <w:t xml:space="preserve">Možnost výběru </w:t>
      </w:r>
      <w:r w:rsidR="00F42D12" w:rsidRPr="003F43E1">
        <w:t xml:space="preserve">údaje metadat </w:t>
      </w:r>
      <w:r>
        <w:t>pro</w:t>
      </w:r>
      <w:r w:rsidR="00F42D12" w:rsidRPr="003F43E1">
        <w:t xml:space="preserve"> předvypl</w:t>
      </w:r>
      <w:r>
        <w:t>nění</w:t>
      </w:r>
    </w:p>
    <w:p w14:paraId="37E07E26" w14:textId="304EABB0" w:rsidR="00F42D12" w:rsidRPr="003F43E1" w:rsidRDefault="009927C4" w:rsidP="009927C4">
      <w:pPr>
        <w:pStyle w:val="Odstavecseseznamem"/>
        <w:numPr>
          <w:ilvl w:val="0"/>
          <w:numId w:val="38"/>
        </w:numPr>
        <w:ind w:left="714" w:hanging="357"/>
        <w:contextualSpacing w:val="0"/>
      </w:pPr>
      <w:r>
        <w:t xml:space="preserve">Důležité </w:t>
      </w:r>
      <w:r w:rsidR="00F42D12" w:rsidRPr="003F43E1">
        <w:t xml:space="preserve">atributy, které mohou hrát roli v rozhodování </w:t>
      </w:r>
      <w:r>
        <w:t>pro distribuci</w:t>
      </w:r>
    </w:p>
    <w:p w14:paraId="3607FD28" w14:textId="77777777" w:rsidR="009927C4" w:rsidRDefault="009927C4" w:rsidP="00F42D12">
      <w:pPr>
        <w:pStyle w:val="Odstavecseseznamem"/>
        <w:numPr>
          <w:ilvl w:val="0"/>
          <w:numId w:val="38"/>
        </w:numPr>
        <w:ind w:left="714" w:hanging="357"/>
        <w:contextualSpacing w:val="0"/>
      </w:pPr>
      <w:r>
        <w:t>Volbu</w:t>
      </w:r>
      <w:r w:rsidR="00F42D12" w:rsidRPr="003F43E1">
        <w:t xml:space="preserve"> časov</w:t>
      </w:r>
      <w:r>
        <w:t>ého</w:t>
      </w:r>
      <w:r w:rsidR="00F42D12" w:rsidRPr="003F43E1">
        <w:t xml:space="preserve"> interval</w:t>
      </w:r>
      <w:r>
        <w:t>u</w:t>
      </w:r>
      <w:r w:rsidR="00F42D12" w:rsidRPr="003F43E1">
        <w:t xml:space="preserve"> pro zpracování historických </w:t>
      </w:r>
      <w:proofErr w:type="gramStart"/>
      <w:r w:rsidR="00F42D12" w:rsidRPr="003F43E1">
        <w:t>dat,</w:t>
      </w:r>
      <w:proofErr w:type="gramEnd"/>
      <w:r w:rsidR="00F42D12" w:rsidRPr="003F43E1">
        <w:t xml:space="preserve"> neboli jak daleko do minulosti je třeba jít, aby byl model natrénován spolehlivě. </w:t>
      </w:r>
    </w:p>
    <w:p w14:paraId="4E9F2631" w14:textId="127958A1" w:rsidR="00F42D12" w:rsidRPr="003F43E1" w:rsidRDefault="009927C4" w:rsidP="00F42D12">
      <w:pPr>
        <w:pStyle w:val="Odstavecseseznamem"/>
        <w:numPr>
          <w:ilvl w:val="0"/>
          <w:numId w:val="38"/>
        </w:numPr>
        <w:ind w:left="714" w:hanging="357"/>
        <w:contextualSpacing w:val="0"/>
      </w:pPr>
      <w:r>
        <w:t>Možnost</w:t>
      </w:r>
      <w:r w:rsidR="00F42D12" w:rsidRPr="003F43E1">
        <w:t xml:space="preserve"> model kdykoliv přetrénovat na základě požadovaných dat např. konec roku chodí většinově jiné typy dokumentů a model toto může zohlednit.</w:t>
      </w:r>
    </w:p>
    <w:p w14:paraId="0F815E30" w14:textId="77777777" w:rsidR="00F42D12" w:rsidRPr="003F43E1" w:rsidRDefault="00F42D12" w:rsidP="009927C4">
      <w:pPr>
        <w:pStyle w:val="Odstavecseseznamem"/>
        <w:numPr>
          <w:ilvl w:val="0"/>
          <w:numId w:val="38"/>
        </w:numPr>
        <w:ind w:left="714" w:hanging="357"/>
        <w:contextualSpacing w:val="0"/>
      </w:pPr>
      <w:r w:rsidRPr="003F43E1">
        <w:t>Zásadní zvýšení přesnosti evidence metadat</w:t>
      </w:r>
    </w:p>
    <w:p w14:paraId="358E0C71" w14:textId="3EB347B9" w:rsidR="00F42D12" w:rsidRPr="003F43E1" w:rsidRDefault="00F42D12" w:rsidP="009927C4">
      <w:pPr>
        <w:pStyle w:val="Odstavecseseznamem"/>
        <w:numPr>
          <w:ilvl w:val="0"/>
          <w:numId w:val="38"/>
        </w:numPr>
        <w:ind w:left="714" w:hanging="357"/>
        <w:contextualSpacing w:val="0"/>
      </w:pPr>
      <w:r w:rsidRPr="003F43E1">
        <w:t xml:space="preserve">Model </w:t>
      </w:r>
      <w:r w:rsidR="009927C4">
        <w:t>bude</w:t>
      </w:r>
      <w:r w:rsidRPr="003F43E1">
        <w:t xml:space="preserve"> nasazený v lokálním prostředí a zabezpečen pro práci s osobními údaji</w:t>
      </w:r>
    </w:p>
    <w:p w14:paraId="25800F2A" w14:textId="38590529" w:rsidR="00F42D12" w:rsidRPr="003F43E1" w:rsidRDefault="00F42D12" w:rsidP="009927C4">
      <w:pPr>
        <w:pStyle w:val="Odstavecseseznamem"/>
        <w:numPr>
          <w:ilvl w:val="0"/>
          <w:numId w:val="38"/>
        </w:numPr>
        <w:ind w:left="714" w:hanging="357"/>
        <w:contextualSpacing w:val="0"/>
      </w:pPr>
      <w:r w:rsidRPr="003F43E1">
        <w:t xml:space="preserve">Model </w:t>
      </w:r>
      <w:r w:rsidR="009927C4">
        <w:t>bude</w:t>
      </w:r>
      <w:r w:rsidRPr="003F43E1">
        <w:t xml:space="preserve"> schopný si poradit i s případy, které v historii nenastaly</w:t>
      </w:r>
    </w:p>
    <w:p w14:paraId="3CD27601" w14:textId="31B93672" w:rsidR="00F42D12" w:rsidRPr="003F43E1" w:rsidRDefault="00F42D12" w:rsidP="009927C4">
      <w:pPr>
        <w:pStyle w:val="Odstavecseseznamem"/>
        <w:numPr>
          <w:ilvl w:val="0"/>
          <w:numId w:val="38"/>
        </w:numPr>
        <w:ind w:left="714" w:hanging="357"/>
        <w:contextualSpacing w:val="0"/>
      </w:pPr>
      <w:r w:rsidRPr="003F43E1">
        <w:t>Velikost modelu</w:t>
      </w:r>
      <w:r w:rsidR="009927C4">
        <w:t xml:space="preserve"> bude</w:t>
      </w:r>
      <w:r w:rsidRPr="003F43E1">
        <w:t xml:space="preserve"> možné optimalizovat na hardware</w:t>
      </w:r>
      <w:r w:rsidR="009927C4">
        <w:t xml:space="preserve"> zadavatele</w:t>
      </w:r>
    </w:p>
    <w:p w14:paraId="7105E398" w14:textId="44806483" w:rsidR="00F42D12" w:rsidRPr="003F43E1" w:rsidRDefault="00F42D12" w:rsidP="009927C4">
      <w:pPr>
        <w:pStyle w:val="Odstavecseseznamem"/>
        <w:numPr>
          <w:ilvl w:val="0"/>
          <w:numId w:val="38"/>
        </w:numPr>
        <w:ind w:left="714" w:hanging="357"/>
        <w:contextualSpacing w:val="0"/>
      </w:pPr>
      <w:r w:rsidRPr="003F43E1">
        <w:t xml:space="preserve">Model </w:t>
      </w:r>
      <w:r w:rsidR="009927C4">
        <w:t>bude možné</w:t>
      </w:r>
      <w:r w:rsidRPr="003F43E1">
        <w:t xml:space="preserve"> trénovat pro danou sezónu např. na konec roku a tím přesnost průběžně optimalizovat </w:t>
      </w:r>
    </w:p>
    <w:p w14:paraId="09F93941" w14:textId="7DA26F5A" w:rsidR="00F42D12" w:rsidRPr="003F43E1" w:rsidRDefault="00F42D12" w:rsidP="009927C4">
      <w:pPr>
        <w:pStyle w:val="Odstavecseseznamem"/>
        <w:numPr>
          <w:ilvl w:val="0"/>
          <w:numId w:val="38"/>
        </w:numPr>
        <w:ind w:left="714" w:hanging="357"/>
        <w:contextualSpacing w:val="0"/>
      </w:pPr>
      <w:r w:rsidRPr="003F43E1">
        <w:lastRenderedPageBreak/>
        <w:t xml:space="preserve">Model </w:t>
      </w:r>
      <w:r w:rsidR="009927C4">
        <w:t>bude ve vlastnictví</w:t>
      </w:r>
      <w:r w:rsidRPr="003F43E1">
        <w:t xml:space="preserve"> </w:t>
      </w:r>
      <w:r w:rsidR="009927C4">
        <w:t>zadavatele</w:t>
      </w:r>
    </w:p>
    <w:p w14:paraId="255C2E22" w14:textId="77777777" w:rsidR="00F42D12" w:rsidRDefault="00F42D12" w:rsidP="003629EE"/>
    <w:p w14:paraId="29FC009A" w14:textId="78195A69" w:rsidR="003629EE" w:rsidRDefault="003629EE" w:rsidP="003629EE">
      <w:pPr>
        <w:pStyle w:val="Nadpis2"/>
        <w:rPr>
          <w:rFonts w:eastAsia="MS ??"/>
        </w:rPr>
      </w:pPr>
      <w:r>
        <w:rPr>
          <w:rFonts w:eastAsia="MS ??"/>
        </w:rPr>
        <w:t xml:space="preserve">Specifické požadavky </w:t>
      </w:r>
      <w:r w:rsidR="00BC5592">
        <w:rPr>
          <w:rFonts w:eastAsia="MS ??"/>
        </w:rPr>
        <w:t>A18</w:t>
      </w:r>
      <w:r>
        <w:rPr>
          <w:rFonts w:eastAsia="MS ??"/>
        </w:rPr>
        <w:t xml:space="preserve"> – </w:t>
      </w:r>
      <w:r w:rsidR="00BC5592" w:rsidRPr="00BC5592">
        <w:rPr>
          <w:rFonts w:eastAsia="MS ??"/>
        </w:rPr>
        <w:t>Rozšíření modulu K2 – rozpoznávání faktur</w:t>
      </w:r>
    </w:p>
    <w:p w14:paraId="63DEEE08" w14:textId="75509229" w:rsidR="00BC5592" w:rsidRDefault="00A629CD" w:rsidP="00BC5592">
      <w:r w:rsidRPr="00C845B0">
        <w:t xml:space="preserve">Rozšíření </w:t>
      </w:r>
      <w:r w:rsidR="001447CF">
        <w:t>stávajícího</w:t>
      </w:r>
      <w:r w:rsidR="001447CF" w:rsidRPr="00C845B0">
        <w:t xml:space="preserve"> modulu K2</w:t>
      </w:r>
      <w:r w:rsidR="001447CF">
        <w:t xml:space="preserve"> (elektronické spisové služby)</w:t>
      </w:r>
      <w:r w:rsidR="001447CF" w:rsidRPr="00C845B0">
        <w:t xml:space="preserve"> </w:t>
      </w:r>
      <w:r>
        <w:t xml:space="preserve">zajistí </w:t>
      </w:r>
      <w:r w:rsidR="00BC5592">
        <w:t>automatick</w:t>
      </w:r>
      <w:r w:rsidR="004E4E38">
        <w:t>é</w:t>
      </w:r>
      <w:r>
        <w:t xml:space="preserve"> </w:t>
      </w:r>
      <w:r w:rsidR="00BC5592">
        <w:t>vytěž</w:t>
      </w:r>
      <w:r w:rsidR="004E4E38">
        <w:t>ení</w:t>
      </w:r>
      <w:r w:rsidR="00BC5592">
        <w:t xml:space="preserve"> údaj</w:t>
      </w:r>
      <w:r w:rsidR="004E4E38">
        <w:t>ů</w:t>
      </w:r>
      <w:r w:rsidR="00BC5592">
        <w:t xml:space="preserve"> z doručeného dokumentu PDF do formuláře, což uživatelům systému ušetří spoustu času a zamezí chybnému</w:t>
      </w:r>
      <w:r>
        <w:t xml:space="preserve"> </w:t>
      </w:r>
      <w:r w:rsidR="00BC5592">
        <w:t>manuálnímu přepisu dokumentů.</w:t>
      </w:r>
    </w:p>
    <w:p w14:paraId="7F4087A0" w14:textId="51504157" w:rsidR="00BC5592" w:rsidRDefault="00BC5592" w:rsidP="00BC5592">
      <w:r>
        <w:t xml:space="preserve">Data </w:t>
      </w:r>
      <w:r w:rsidR="004E4E38">
        <w:t>budou</w:t>
      </w:r>
      <w:r>
        <w:t xml:space="preserve"> načtena a automaticky vytěžena do příslušných políček v</w:t>
      </w:r>
      <w:r w:rsidR="004E4E38">
        <w:t>e stávajícím</w:t>
      </w:r>
      <w:r>
        <w:t xml:space="preserve"> modulu</w:t>
      </w:r>
      <w:r w:rsidR="000A61BA">
        <w:t xml:space="preserve"> KDF – kniha došlých faktur.</w:t>
      </w:r>
      <w:r w:rsidR="00A629CD">
        <w:t xml:space="preserve"> </w:t>
      </w:r>
      <w:r>
        <w:t>Vytěžený dokument se zobrazí přímo vedle detailů elektronické faktury a lze tak údaje</w:t>
      </w:r>
      <w:r w:rsidR="00A629CD">
        <w:t xml:space="preserve"> </w:t>
      </w:r>
      <w:r>
        <w:t>kontrolovat a opravovat. Pokud nastane nesoulad mezi číselníky či jinými hodnotami,</w:t>
      </w:r>
      <w:r w:rsidR="00A629CD">
        <w:t xml:space="preserve"> </w:t>
      </w:r>
      <w:r>
        <w:t>uživatel je upozorněn červeným zvýrazněním políček.</w:t>
      </w:r>
    </w:p>
    <w:p w14:paraId="1651E0B4" w14:textId="7392F00F" w:rsidR="00BC5592" w:rsidRDefault="004E4E38" w:rsidP="00BC5592">
      <w:r>
        <w:t>Rozšíření modulu K2 zajistí alespoň:</w:t>
      </w:r>
    </w:p>
    <w:p w14:paraId="6497A616" w14:textId="00E2561A" w:rsidR="00BC5592" w:rsidRDefault="004E4E38" w:rsidP="004E4E38">
      <w:pPr>
        <w:pStyle w:val="Odstavecseseznamem"/>
        <w:numPr>
          <w:ilvl w:val="0"/>
          <w:numId w:val="39"/>
        </w:numPr>
        <w:contextualSpacing w:val="0"/>
      </w:pPr>
      <w:r>
        <w:t>A</w:t>
      </w:r>
      <w:r w:rsidR="00BC5592">
        <w:t>utomatické vytěžování údajů z dokumentů do systému</w:t>
      </w:r>
    </w:p>
    <w:p w14:paraId="28CB78A1" w14:textId="08008F20" w:rsidR="00BC5592" w:rsidRDefault="00BC5592" w:rsidP="004E4E38">
      <w:pPr>
        <w:pStyle w:val="Odstavecseseznamem"/>
        <w:numPr>
          <w:ilvl w:val="0"/>
          <w:numId w:val="39"/>
        </w:numPr>
        <w:ind w:left="714" w:hanging="357"/>
        <w:contextualSpacing w:val="0"/>
      </w:pPr>
      <w:r>
        <w:t xml:space="preserve">Snížení chybovosti </w:t>
      </w:r>
      <w:r w:rsidR="004E4E38">
        <w:t xml:space="preserve">oproti manuálnímu zadávání </w:t>
      </w:r>
      <w:r>
        <w:t>díky automatickému přenosu dat</w:t>
      </w:r>
    </w:p>
    <w:p w14:paraId="4AB56574" w14:textId="6B90A980" w:rsidR="004E4E38" w:rsidRDefault="00BC5592" w:rsidP="002135DC">
      <w:pPr>
        <w:pStyle w:val="Odstavecseseznamem"/>
        <w:numPr>
          <w:ilvl w:val="0"/>
          <w:numId w:val="39"/>
        </w:numPr>
        <w:ind w:left="714" w:hanging="357"/>
        <w:contextualSpacing w:val="0"/>
      </w:pPr>
      <w:proofErr w:type="spellStart"/>
      <w:r>
        <w:t>Předtrénovaný</w:t>
      </w:r>
      <w:proofErr w:type="spellEnd"/>
      <w:r>
        <w:t xml:space="preserve"> a udržovaný model </w:t>
      </w:r>
      <w:r w:rsidR="001C6269">
        <w:t xml:space="preserve">– </w:t>
      </w:r>
      <w:r>
        <w:t>široká škála naučených typů dokumentů</w:t>
      </w:r>
      <w:r w:rsidR="004E4E38">
        <w:t xml:space="preserve">, model bude </w:t>
      </w:r>
      <w:proofErr w:type="spellStart"/>
      <w:r w:rsidR="004E4E38">
        <w:t>předtrénovaný</w:t>
      </w:r>
      <w:proofErr w:type="spellEnd"/>
      <w:r w:rsidR="004E4E38">
        <w:t xml:space="preserve"> na mnoha typech českých faktur a bude pravidelně aktualizován.</w:t>
      </w:r>
    </w:p>
    <w:p w14:paraId="5C47F3BC" w14:textId="27C37FB3" w:rsidR="00BC5592" w:rsidRDefault="004E4E38" w:rsidP="004E4E38">
      <w:pPr>
        <w:pStyle w:val="Odstavecseseznamem"/>
        <w:numPr>
          <w:ilvl w:val="0"/>
          <w:numId w:val="39"/>
        </w:numPr>
        <w:ind w:left="714" w:hanging="357"/>
        <w:contextualSpacing w:val="0"/>
      </w:pPr>
      <w:r>
        <w:t>M</w:t>
      </w:r>
      <w:r w:rsidR="00BC5592">
        <w:t xml:space="preserve">ožnost provozu v cloudu nebo implementace přímo u </w:t>
      </w:r>
      <w:r>
        <w:t>zadavatele</w:t>
      </w:r>
      <w:r w:rsidR="001C6269">
        <w:t>.</w:t>
      </w:r>
    </w:p>
    <w:p w14:paraId="264AF866" w14:textId="77777777" w:rsidR="001C6269" w:rsidRDefault="001C6269" w:rsidP="001C6269"/>
    <w:p w14:paraId="765F153E" w14:textId="2037D8F4" w:rsidR="003629EE" w:rsidRDefault="003629EE" w:rsidP="003629EE">
      <w:pPr>
        <w:pStyle w:val="Nadpis2"/>
        <w:rPr>
          <w:rFonts w:eastAsia="MS ??"/>
        </w:rPr>
      </w:pPr>
      <w:r>
        <w:rPr>
          <w:rFonts w:eastAsia="MS ??"/>
        </w:rPr>
        <w:t>Specifické požadavky</w:t>
      </w:r>
      <w:r w:rsidR="00350126">
        <w:rPr>
          <w:rFonts w:eastAsia="MS ??"/>
        </w:rPr>
        <w:t xml:space="preserve"> A19 </w:t>
      </w:r>
      <w:r w:rsidR="001C6269">
        <w:rPr>
          <w:rFonts w:eastAsia="MS ??"/>
        </w:rPr>
        <w:t>–</w:t>
      </w:r>
      <w:r w:rsidR="00350126">
        <w:rPr>
          <w:rFonts w:eastAsia="MS ??"/>
        </w:rPr>
        <w:t xml:space="preserve"> </w:t>
      </w:r>
      <w:r w:rsidR="00350126" w:rsidRPr="00350126">
        <w:rPr>
          <w:rFonts w:eastAsia="MS ??"/>
        </w:rPr>
        <w:t>Rozšíření modulu K6 – úkoly</w:t>
      </w:r>
    </w:p>
    <w:p w14:paraId="7D03A6AF" w14:textId="257021F3" w:rsidR="00350126" w:rsidRDefault="00032C8F" w:rsidP="00350126">
      <w:r w:rsidRPr="00C845B0">
        <w:t xml:space="preserve">Rozšíření </w:t>
      </w:r>
      <w:r w:rsidR="001447CF">
        <w:t>stávajícího</w:t>
      </w:r>
      <w:r w:rsidR="001447CF" w:rsidRPr="00C845B0">
        <w:t xml:space="preserve"> modulu K</w:t>
      </w:r>
      <w:r w:rsidR="001447CF">
        <w:t>6 (usnesení)</w:t>
      </w:r>
      <w:r w:rsidR="001447CF" w:rsidRPr="00C845B0">
        <w:t xml:space="preserve"> </w:t>
      </w:r>
      <w:r>
        <w:t>zajistí e</w:t>
      </w:r>
      <w:r w:rsidR="00350126">
        <w:t>videnc</w:t>
      </w:r>
      <w:r>
        <w:t>i</w:t>
      </w:r>
      <w:r w:rsidR="00350126">
        <w:t xml:space="preserve"> úkolů, dohled nad jejich plněním s možností předání úkolu nebo jeho části</w:t>
      </w:r>
      <w:r>
        <w:t xml:space="preserve">. </w:t>
      </w:r>
    </w:p>
    <w:p w14:paraId="4EE32385" w14:textId="5F662EEC" w:rsidR="00350126" w:rsidRDefault="00032C8F" w:rsidP="003629EE">
      <w:r>
        <w:t>Rozšíření zajistí</w:t>
      </w:r>
      <w:r w:rsidR="00350126">
        <w:t xml:space="preserve"> komplexní řešení sdílené agendy úkolů. V modulu </w:t>
      </w:r>
      <w:r>
        <w:t>budou</w:t>
      </w:r>
      <w:r w:rsidR="00350126">
        <w:t xml:space="preserve"> úkoly chápány jako evidované činnosti vyvolané písemným zadáním s termíny splnění a s povinností hlásit splnění, případně i průběh nebo ohrožení splnění úkolu. V rámci jednoho úkolu </w:t>
      </w:r>
      <w:r>
        <w:t>bude</w:t>
      </w:r>
      <w:r w:rsidR="00350126">
        <w:t xml:space="preserve"> jeden konkrétní nositel odpovědný za splnění celého zadání jednomu konkrétnímu zadavateli. Nositel může přenášet část, nebo celé zadání na další pracovníky.</w:t>
      </w:r>
    </w:p>
    <w:p w14:paraId="2FC62F4E" w14:textId="4B4D110B" w:rsidR="008709A6" w:rsidRDefault="008709A6" w:rsidP="00350126">
      <w:r w:rsidRPr="00C845B0">
        <w:t>Rozšíření modulu K</w:t>
      </w:r>
      <w:r>
        <w:t>6</w:t>
      </w:r>
      <w:r w:rsidRPr="00C845B0">
        <w:t xml:space="preserve"> </w:t>
      </w:r>
      <w:r>
        <w:t>bude možné využívat alespoň 65 uživateli.</w:t>
      </w:r>
    </w:p>
    <w:p w14:paraId="0B6DC0DC" w14:textId="2F821272" w:rsidR="00032C8F" w:rsidRDefault="00032C8F" w:rsidP="00032C8F">
      <w:r>
        <w:t>Bude zajištěna e</w:t>
      </w:r>
      <w:r w:rsidR="00350126">
        <w:t xml:space="preserve">vidence a sledování i složitě strukturovaných úkolů tzv. genezi hlavního na úkoly podřízené. Úkolový list </w:t>
      </w:r>
      <w:r>
        <w:t xml:space="preserve">bude </w:t>
      </w:r>
      <w:r w:rsidR="00350126">
        <w:t>obsah</w:t>
      </w:r>
      <w:r>
        <w:t>ovat</w:t>
      </w:r>
      <w:r w:rsidR="00350126">
        <w:t xml:space="preserve"> strukturované ev. údaje s pevnou délkou (č. úkolu, termín atd.) i údaje textové (název úkolu, zadání atd.). </w:t>
      </w:r>
      <w:r>
        <w:t xml:space="preserve">Úkolový list bude </w:t>
      </w:r>
      <w:r w:rsidR="00350126">
        <w:t xml:space="preserve">nositelem informací o úkolu se souvisejícími dokumenty (hlášení o převzetí a splnění úkolu, avízo atd.). </w:t>
      </w:r>
      <w:r>
        <w:t>Úkolový list bude dále sloužit</w:t>
      </w:r>
      <w:r w:rsidR="00350126">
        <w:t xml:space="preserve"> k evidenci a sledování postupu plnění zadaného úkolu, popř. ke komunikaci mezi zadavatelem a nositelem. </w:t>
      </w:r>
    </w:p>
    <w:p w14:paraId="6782FE13" w14:textId="00CD6792" w:rsidR="00350126" w:rsidRDefault="00032C8F" w:rsidP="00350126">
      <w:r>
        <w:t>Rozšíření modulu K6 zajistí:</w:t>
      </w:r>
    </w:p>
    <w:p w14:paraId="08DBFA4F" w14:textId="77777777" w:rsidR="00350126" w:rsidRDefault="00350126" w:rsidP="00032C8F">
      <w:pPr>
        <w:pStyle w:val="Odstavecseseznamem"/>
        <w:numPr>
          <w:ilvl w:val="0"/>
          <w:numId w:val="40"/>
        </w:numPr>
        <w:contextualSpacing w:val="0"/>
      </w:pPr>
      <w:r>
        <w:t xml:space="preserve">Kompletní řešení agendy úkolů </w:t>
      </w:r>
    </w:p>
    <w:p w14:paraId="7A24B79F" w14:textId="77777777" w:rsidR="00350126" w:rsidRDefault="00350126" w:rsidP="00032C8F">
      <w:pPr>
        <w:pStyle w:val="Odstavecseseznamem"/>
        <w:numPr>
          <w:ilvl w:val="0"/>
          <w:numId w:val="40"/>
        </w:numPr>
        <w:contextualSpacing w:val="0"/>
      </w:pPr>
      <w:r>
        <w:t xml:space="preserve">Nástroj pro sdílenou agendu úkolů </w:t>
      </w:r>
    </w:p>
    <w:p w14:paraId="180F9149" w14:textId="7A1E5EB8" w:rsidR="00350126" w:rsidRDefault="00350126" w:rsidP="00032C8F">
      <w:pPr>
        <w:pStyle w:val="Odstavecseseznamem"/>
        <w:numPr>
          <w:ilvl w:val="0"/>
          <w:numId w:val="40"/>
        </w:numPr>
        <w:contextualSpacing w:val="0"/>
      </w:pPr>
      <w:r>
        <w:t xml:space="preserve">Možnost seskupení dokumentů k jednomu úkolu </w:t>
      </w:r>
    </w:p>
    <w:p w14:paraId="7601D772" w14:textId="77777777" w:rsidR="00350126" w:rsidRDefault="00350126" w:rsidP="00032C8F">
      <w:pPr>
        <w:pStyle w:val="Odstavecseseznamem"/>
        <w:numPr>
          <w:ilvl w:val="0"/>
          <w:numId w:val="40"/>
        </w:numPr>
        <w:contextualSpacing w:val="0"/>
      </w:pPr>
      <w:r>
        <w:t xml:space="preserve">Evidence postupu plnění úkolu </w:t>
      </w:r>
    </w:p>
    <w:p w14:paraId="34FF7EE6" w14:textId="3E881FA9" w:rsidR="00032C8F" w:rsidRDefault="00350126" w:rsidP="00032C8F">
      <w:pPr>
        <w:pStyle w:val="Odstavecseseznamem"/>
        <w:numPr>
          <w:ilvl w:val="0"/>
          <w:numId w:val="40"/>
        </w:numPr>
        <w:contextualSpacing w:val="0"/>
      </w:pPr>
      <w:r>
        <w:t>Komunikac</w:t>
      </w:r>
      <w:r w:rsidR="00032C8F">
        <w:t>i</w:t>
      </w:r>
      <w:r>
        <w:t xml:space="preserve"> mezi zadavatelem a nositelem </w:t>
      </w:r>
    </w:p>
    <w:p w14:paraId="08C559F2" w14:textId="630AEBA8" w:rsidR="00350126" w:rsidRDefault="00350126" w:rsidP="00032C8F">
      <w:pPr>
        <w:pStyle w:val="Odstavecseseznamem"/>
        <w:numPr>
          <w:ilvl w:val="0"/>
          <w:numId w:val="40"/>
        </w:numPr>
        <w:contextualSpacing w:val="0"/>
      </w:pPr>
      <w:r>
        <w:t xml:space="preserve">Provázání hlavních a podřízených úkolů </w:t>
      </w:r>
    </w:p>
    <w:p w14:paraId="29541635" w14:textId="58A81F06" w:rsidR="00350126" w:rsidRDefault="00350126" w:rsidP="00032C8F">
      <w:pPr>
        <w:pStyle w:val="Odstavecseseznamem"/>
        <w:numPr>
          <w:ilvl w:val="0"/>
          <w:numId w:val="40"/>
        </w:numPr>
        <w:contextualSpacing w:val="0"/>
      </w:pPr>
      <w:r>
        <w:t>Evidenc</w:t>
      </w:r>
      <w:r w:rsidR="00032C8F">
        <w:t>i</w:t>
      </w:r>
      <w:r>
        <w:t xml:space="preserve"> i složitě strukturovaných úkolů – geneze hlavního úkolu na podřízené</w:t>
      </w:r>
    </w:p>
    <w:p w14:paraId="77FDDB28" w14:textId="16843FA6" w:rsidR="00350126" w:rsidRDefault="00350126" w:rsidP="00032C8F">
      <w:pPr>
        <w:pStyle w:val="Odstavecseseznamem"/>
        <w:numPr>
          <w:ilvl w:val="0"/>
          <w:numId w:val="40"/>
        </w:numPr>
        <w:contextualSpacing w:val="0"/>
      </w:pPr>
      <w:r>
        <w:t>Komplexní řešení sdílené agendy úkolů i komunikace zadavatele s nositelem</w:t>
      </w:r>
    </w:p>
    <w:p w14:paraId="4767669E" w14:textId="5FBEC883" w:rsidR="00350126" w:rsidRDefault="00350126" w:rsidP="00032C8F">
      <w:pPr>
        <w:pStyle w:val="Odstavecseseznamem"/>
        <w:numPr>
          <w:ilvl w:val="0"/>
          <w:numId w:val="40"/>
        </w:numPr>
        <w:contextualSpacing w:val="0"/>
      </w:pPr>
      <w:r>
        <w:t>Možnost předání části nebo celého úkolu na další pracovníky (zachování zodpovědnosti)</w:t>
      </w:r>
    </w:p>
    <w:p w14:paraId="63CDF7BC" w14:textId="7ACE550B" w:rsidR="00350126" w:rsidRDefault="00350126" w:rsidP="00032C8F">
      <w:pPr>
        <w:pStyle w:val="Odstavecseseznamem"/>
        <w:numPr>
          <w:ilvl w:val="0"/>
          <w:numId w:val="40"/>
        </w:numPr>
        <w:contextualSpacing w:val="0"/>
      </w:pPr>
      <w:r>
        <w:t>Úkolový list</w:t>
      </w:r>
      <w:r w:rsidR="00032C8F">
        <w:t xml:space="preserve"> (nebo jiná</w:t>
      </w:r>
      <w:r>
        <w:t xml:space="preserve"> primární entita</w:t>
      </w:r>
      <w:r w:rsidR="00032C8F">
        <w:t>)</w:t>
      </w:r>
      <w:r>
        <w:t xml:space="preserve"> s možností připojení souvisejících dokumentů</w:t>
      </w:r>
    </w:p>
    <w:p w14:paraId="49309C5F" w14:textId="44FB1725" w:rsidR="00350126" w:rsidRDefault="00350126" w:rsidP="00032C8F">
      <w:pPr>
        <w:pStyle w:val="Odstavecseseznamem"/>
        <w:numPr>
          <w:ilvl w:val="0"/>
          <w:numId w:val="40"/>
        </w:numPr>
        <w:contextualSpacing w:val="0"/>
      </w:pPr>
      <w:r>
        <w:lastRenderedPageBreak/>
        <w:t>Úkol jako evidovaná činnost vyvolaná písemným zadáním i termínem splnění</w:t>
      </w:r>
    </w:p>
    <w:p w14:paraId="130C94AC" w14:textId="002053BF" w:rsidR="00350126" w:rsidRDefault="00350126" w:rsidP="00350126">
      <w:pPr>
        <w:pStyle w:val="Odstavecseseznamem"/>
        <w:numPr>
          <w:ilvl w:val="0"/>
          <w:numId w:val="40"/>
        </w:numPr>
        <w:contextualSpacing w:val="0"/>
      </w:pPr>
      <w:r>
        <w:t>Získání postupu plnění úkolů díky seřazené množině souvisejících dokumentů</w:t>
      </w:r>
    </w:p>
    <w:p w14:paraId="7CE37F99" w14:textId="77777777" w:rsidR="001C6269" w:rsidRDefault="001C6269" w:rsidP="001C6269"/>
    <w:p w14:paraId="760F46D3" w14:textId="3F0BFA2C" w:rsidR="003629EE" w:rsidRDefault="003629EE" w:rsidP="003629EE">
      <w:pPr>
        <w:pStyle w:val="Nadpis2"/>
        <w:rPr>
          <w:rFonts w:eastAsia="MS ??"/>
        </w:rPr>
      </w:pPr>
      <w:r>
        <w:rPr>
          <w:rFonts w:eastAsia="MS ??"/>
        </w:rPr>
        <w:t xml:space="preserve">Specifické požadavky </w:t>
      </w:r>
      <w:r w:rsidR="008127D2">
        <w:rPr>
          <w:rFonts w:eastAsia="MS ??"/>
        </w:rPr>
        <w:t xml:space="preserve">A20 </w:t>
      </w:r>
      <w:r w:rsidR="001C6269">
        <w:rPr>
          <w:rFonts w:eastAsia="MS ??"/>
        </w:rPr>
        <w:t>–</w:t>
      </w:r>
      <w:r w:rsidR="008127D2">
        <w:rPr>
          <w:rFonts w:eastAsia="MS ??"/>
        </w:rPr>
        <w:t xml:space="preserve"> </w:t>
      </w:r>
      <w:r w:rsidR="008127D2" w:rsidRPr="008127D2">
        <w:rPr>
          <w:rFonts w:eastAsia="MS ??"/>
        </w:rPr>
        <w:t>Rozšíření modulu K7 – datový sklad</w:t>
      </w:r>
    </w:p>
    <w:p w14:paraId="59D866C6" w14:textId="74BB68C8" w:rsidR="00CA5473" w:rsidRDefault="004E3F2D" w:rsidP="00CA5473">
      <w:r w:rsidRPr="00C845B0">
        <w:t xml:space="preserve">Rozšíření </w:t>
      </w:r>
      <w:r w:rsidR="001447CF">
        <w:t>stávajícího</w:t>
      </w:r>
      <w:r w:rsidR="001447CF" w:rsidRPr="00C845B0">
        <w:t xml:space="preserve"> modulu K</w:t>
      </w:r>
      <w:r w:rsidR="001447CF">
        <w:t>7 (agenda návrh rozpočtu)</w:t>
      </w:r>
      <w:r w:rsidR="001447CF" w:rsidRPr="00C845B0">
        <w:t xml:space="preserve"> </w:t>
      </w:r>
      <w:r>
        <w:t>zajistí p</w:t>
      </w:r>
      <w:r w:rsidR="00CA5473">
        <w:t>ropojení a zpřístupnění dat obsažených</w:t>
      </w:r>
      <w:r>
        <w:t xml:space="preserve"> </w:t>
      </w:r>
      <w:r w:rsidR="00CA5473">
        <w:t>v jednotlivých informačních systémech</w:t>
      </w:r>
      <w:r>
        <w:t xml:space="preserve"> </w:t>
      </w:r>
      <w:r w:rsidR="00CA5473">
        <w:t>organizace</w:t>
      </w:r>
      <w:r w:rsidR="00A60778">
        <w:t>.</w:t>
      </w:r>
      <w:r>
        <w:t xml:space="preserve"> </w:t>
      </w:r>
      <w:r w:rsidR="00B46209">
        <w:t>Primárním zdrojem Ekonomických dat bude Ekonomický systém GINIS (</w:t>
      </w:r>
      <w:r w:rsidR="001C6269">
        <w:t xml:space="preserve">výrobce </w:t>
      </w:r>
      <w:r w:rsidR="00B46209">
        <w:t xml:space="preserve">GORDIC spol. s r. o.), </w:t>
      </w:r>
      <w:r w:rsidR="00CA5473">
        <w:t>Jedná se o efektivní zpřístupnění dat voleným orgánům,</w:t>
      </w:r>
      <w:r>
        <w:t xml:space="preserve"> </w:t>
      </w:r>
      <w:r w:rsidR="00CA5473">
        <w:t>managementu, běžným uživatelům, zřizovaným</w:t>
      </w:r>
      <w:r>
        <w:t xml:space="preserve"> </w:t>
      </w:r>
      <w:r w:rsidR="00CA5473">
        <w:t>organizacím nebo veřejnosti pomocí graficky</w:t>
      </w:r>
      <w:r>
        <w:t xml:space="preserve"> </w:t>
      </w:r>
      <w:r w:rsidR="00CA5473">
        <w:t>atraktivních, srozumitelných a plně interaktivních</w:t>
      </w:r>
      <w:r>
        <w:t xml:space="preserve"> </w:t>
      </w:r>
      <w:r w:rsidR="00CA5473">
        <w:t>výstupů. Mnohdy vzájemně neprovázaná data jsou</w:t>
      </w:r>
      <w:r>
        <w:t xml:space="preserve"> </w:t>
      </w:r>
      <w:r w:rsidR="00CA5473">
        <w:t>tak pospojována a připravena k vytvoření ad-hoc</w:t>
      </w:r>
      <w:r>
        <w:t xml:space="preserve"> </w:t>
      </w:r>
      <w:r w:rsidR="00CA5473">
        <w:t>dotazů, pravidelných reportů, prezentací a dalších</w:t>
      </w:r>
      <w:r>
        <w:t xml:space="preserve"> </w:t>
      </w:r>
      <w:r w:rsidR="00CA5473">
        <w:t>výstupů.</w:t>
      </w:r>
    </w:p>
    <w:p w14:paraId="311803AC" w14:textId="313E11B0" w:rsidR="00CA5473" w:rsidRDefault="00CA5473" w:rsidP="00CA5473">
      <w:r>
        <w:t>Typickými výstupy implementovaného řešení jsou např.</w:t>
      </w:r>
      <w:r w:rsidR="004E3F2D">
        <w:t xml:space="preserve"> </w:t>
      </w:r>
      <w:r>
        <w:t>interní nebo externí analytické portály, manažerské</w:t>
      </w:r>
      <w:r w:rsidR="004E3F2D">
        <w:t xml:space="preserve"> </w:t>
      </w:r>
      <w:r>
        <w:t>informační systémy (MIS), reporting, zpřístupnění dat</w:t>
      </w:r>
      <w:r w:rsidR="004E3F2D">
        <w:t xml:space="preserve"> </w:t>
      </w:r>
      <w:r>
        <w:t>veřejnosti nebo robustní aplikace typu Rozklikávací</w:t>
      </w:r>
      <w:r w:rsidR="004E3F2D">
        <w:t xml:space="preserve"> </w:t>
      </w:r>
      <w:r>
        <w:t>rozpočet a další. Řešení je klíčovou technologií vedoucí</w:t>
      </w:r>
      <w:r w:rsidR="004E3F2D">
        <w:t xml:space="preserve"> </w:t>
      </w:r>
      <w:r>
        <w:t>ke zvýšení účinnosti a efektivity. Umožňuje např.</w:t>
      </w:r>
      <w:r w:rsidR="004E3F2D">
        <w:t xml:space="preserve"> </w:t>
      </w:r>
      <w:r>
        <w:t>rozpoznat nové souvislosti v datech nebo prokazatelně</w:t>
      </w:r>
      <w:r w:rsidR="004E3F2D">
        <w:t xml:space="preserve"> </w:t>
      </w:r>
      <w:r>
        <w:t>odhalit potenciální úspory.</w:t>
      </w:r>
    </w:p>
    <w:p w14:paraId="369A95A3" w14:textId="28F7049B" w:rsidR="004E3F2D" w:rsidRDefault="004E3F2D" w:rsidP="004E3F2D">
      <w:r>
        <w:t>Rozšíření modulu K7 zajistí:</w:t>
      </w:r>
    </w:p>
    <w:p w14:paraId="49DA7D8E" w14:textId="4E3A6649" w:rsidR="00CA5473" w:rsidRDefault="00CA5473" w:rsidP="004E3F2D">
      <w:pPr>
        <w:pStyle w:val="Odstavecseseznamem"/>
        <w:numPr>
          <w:ilvl w:val="0"/>
          <w:numId w:val="41"/>
        </w:numPr>
        <w:contextualSpacing w:val="0"/>
      </w:pPr>
      <w:r>
        <w:t>Analýz</w:t>
      </w:r>
      <w:r w:rsidR="004E3F2D">
        <w:t>u</w:t>
      </w:r>
      <w:r>
        <w:t xml:space="preserve"> dat, modelace a zpřístupnění reportingu</w:t>
      </w:r>
      <w:r w:rsidR="004E3F2D">
        <w:t xml:space="preserve"> </w:t>
      </w:r>
    </w:p>
    <w:p w14:paraId="1826C7C7" w14:textId="55399D52" w:rsidR="00CA5473" w:rsidRDefault="00CA5473" w:rsidP="004E3F2D">
      <w:pPr>
        <w:pStyle w:val="Odstavecseseznamem"/>
        <w:numPr>
          <w:ilvl w:val="0"/>
          <w:numId w:val="41"/>
        </w:numPr>
        <w:contextualSpacing w:val="0"/>
      </w:pPr>
      <w:r>
        <w:t>Zpřístupnění dat skrze MS Excel nebo web.</w:t>
      </w:r>
      <w:r w:rsidR="004E3F2D">
        <w:t xml:space="preserve"> </w:t>
      </w:r>
      <w:r>
        <w:t>prohlížeč</w:t>
      </w:r>
    </w:p>
    <w:p w14:paraId="5AAC3C3F" w14:textId="3DDB07E9" w:rsidR="00CA5473" w:rsidRDefault="00CA5473" w:rsidP="004E3F2D">
      <w:pPr>
        <w:pStyle w:val="Odstavecseseznamem"/>
        <w:numPr>
          <w:ilvl w:val="0"/>
          <w:numId w:val="41"/>
        </w:numPr>
        <w:contextualSpacing w:val="0"/>
      </w:pPr>
      <w:r>
        <w:t xml:space="preserve">Vytěžení informačního potenciálu ze </w:t>
      </w:r>
      <w:r w:rsidR="004E3F2D">
        <w:t xml:space="preserve">stávajícího </w:t>
      </w:r>
      <w:r>
        <w:t>systému</w:t>
      </w:r>
      <w:r w:rsidR="004E3F2D">
        <w:t xml:space="preserve"> </w:t>
      </w:r>
      <w:r>
        <w:t>GINIS</w:t>
      </w:r>
    </w:p>
    <w:p w14:paraId="5DADA30E" w14:textId="774278F7" w:rsidR="00A27162" w:rsidRDefault="00CA5473" w:rsidP="00501924">
      <w:pPr>
        <w:pStyle w:val="Odstavecseseznamem"/>
        <w:numPr>
          <w:ilvl w:val="0"/>
          <w:numId w:val="41"/>
        </w:numPr>
        <w:contextualSpacing w:val="0"/>
      </w:pPr>
      <w:r>
        <w:t>Zpřístupnění dat obsažených v různých IS</w:t>
      </w:r>
      <w:r w:rsidR="004E3F2D">
        <w:t xml:space="preserve"> </w:t>
      </w:r>
      <w:r>
        <w:t>managementu pro řízení, analýzy i veřejnost</w:t>
      </w:r>
    </w:p>
    <w:p w14:paraId="74F3F030" w14:textId="77777777" w:rsidR="001C6269" w:rsidRDefault="001C6269" w:rsidP="001C6269"/>
    <w:p w14:paraId="526EE3F3" w14:textId="77777777" w:rsidR="00A27162" w:rsidRPr="00C71B06" w:rsidRDefault="00A27162" w:rsidP="00A27162">
      <w:pPr>
        <w:pStyle w:val="Nadpis2"/>
      </w:pPr>
      <w:r w:rsidRPr="002225EF">
        <w:t>Povinné parametry</w:t>
      </w:r>
    </w:p>
    <w:p w14:paraId="52EFE4B9" w14:textId="62136CE8" w:rsidR="003C0D6A" w:rsidRDefault="00A27162" w:rsidP="00A27162">
      <w:r w:rsidRPr="001C6269">
        <w:t>V dále uvedených tabulkách jsou uvedeny minimální povinné parametry dodávaného řešení. Účastník doplní informaci o splnění požadovaného kritéria.</w:t>
      </w:r>
    </w:p>
    <w:p w14:paraId="7571B173" w14:textId="77777777" w:rsidR="001C6269" w:rsidRPr="001C6269" w:rsidRDefault="001C6269" w:rsidP="00A27162"/>
    <w:p w14:paraId="55D8B72F" w14:textId="7A4ED79A" w:rsidR="003C0D6A" w:rsidRPr="003C0D6A" w:rsidRDefault="003C0D6A" w:rsidP="00A27162">
      <w:pPr>
        <w:pStyle w:val="Nadpis3"/>
      </w:pPr>
      <w:r>
        <w:rPr>
          <w:rFonts w:eastAsia="MS ??"/>
        </w:rPr>
        <w:t xml:space="preserve">A20 </w:t>
      </w:r>
      <w:r w:rsidR="001C6269">
        <w:rPr>
          <w:rFonts w:eastAsia="MS ??"/>
        </w:rPr>
        <w:t>–</w:t>
      </w:r>
      <w:r>
        <w:rPr>
          <w:rFonts w:eastAsia="MS ??"/>
        </w:rPr>
        <w:t xml:space="preserve"> </w:t>
      </w:r>
      <w:r w:rsidRPr="008127D2">
        <w:rPr>
          <w:rFonts w:eastAsia="MS ??"/>
        </w:rPr>
        <w:t>Rozšíření modulu K7 – datový sklad</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563"/>
        <w:gridCol w:w="4258"/>
        <w:gridCol w:w="1036"/>
        <w:gridCol w:w="1657"/>
      </w:tblGrid>
      <w:tr w:rsidR="0039236F" w:rsidRPr="009F0177" w14:paraId="58F8D13F" w14:textId="77777777" w:rsidTr="0039236F">
        <w:tc>
          <w:tcPr>
            <w:tcW w:w="700" w:type="dxa"/>
            <w:shd w:val="clear" w:color="auto" w:fill="BFBFBF" w:themeFill="background1" w:themeFillShade="BF"/>
            <w:vAlign w:val="center"/>
          </w:tcPr>
          <w:p w14:paraId="42A8AB4E" w14:textId="77777777" w:rsidR="0039236F" w:rsidRPr="009F0177" w:rsidRDefault="0039236F" w:rsidP="008120A7">
            <w:pPr>
              <w:pStyle w:val="19anodst"/>
              <w:spacing w:before="40" w:after="40"/>
              <w:jc w:val="center"/>
              <w:rPr>
                <w:rFonts w:ascii="Arial" w:hAnsi="Arial" w:cs="Arial"/>
                <w:b/>
                <w:bCs/>
                <w:iCs/>
                <w:color w:val="000000" w:themeColor="text1"/>
                <w:szCs w:val="18"/>
              </w:rPr>
            </w:pPr>
            <w:r w:rsidRPr="009F0177">
              <w:rPr>
                <w:rFonts w:ascii="Arial" w:hAnsi="Arial" w:cs="Arial"/>
                <w:b/>
                <w:bCs/>
                <w:iCs/>
                <w:color w:val="000000" w:themeColor="text1"/>
                <w:szCs w:val="18"/>
              </w:rPr>
              <w:t>Č.</w:t>
            </w:r>
          </w:p>
        </w:tc>
        <w:tc>
          <w:tcPr>
            <w:tcW w:w="1563" w:type="dxa"/>
            <w:shd w:val="clear" w:color="auto" w:fill="BFBFBF" w:themeFill="background1" w:themeFillShade="BF"/>
            <w:vAlign w:val="center"/>
          </w:tcPr>
          <w:p w14:paraId="5BC0A581" w14:textId="77777777" w:rsidR="0039236F" w:rsidRPr="009F0177" w:rsidRDefault="0039236F" w:rsidP="008120A7">
            <w:pPr>
              <w:pStyle w:val="19anodst"/>
              <w:spacing w:before="40" w:after="40"/>
              <w:jc w:val="center"/>
              <w:rPr>
                <w:rFonts w:ascii="Arial" w:hAnsi="Arial" w:cs="Arial"/>
                <w:b/>
                <w:bCs/>
                <w:iCs/>
                <w:color w:val="000000" w:themeColor="text1"/>
                <w:szCs w:val="18"/>
              </w:rPr>
            </w:pPr>
            <w:r w:rsidRPr="009F0177">
              <w:rPr>
                <w:rFonts w:ascii="Arial" w:hAnsi="Arial" w:cs="Arial"/>
                <w:b/>
                <w:bCs/>
                <w:iCs/>
                <w:color w:val="000000" w:themeColor="text1"/>
                <w:szCs w:val="18"/>
              </w:rPr>
              <w:t>Kritérium</w:t>
            </w:r>
          </w:p>
        </w:tc>
        <w:tc>
          <w:tcPr>
            <w:tcW w:w="4258" w:type="dxa"/>
            <w:shd w:val="clear" w:color="auto" w:fill="BFBFBF" w:themeFill="background1" w:themeFillShade="BF"/>
            <w:vAlign w:val="center"/>
          </w:tcPr>
          <w:p w14:paraId="089A1B5C" w14:textId="77777777" w:rsidR="0039236F" w:rsidRPr="009F0177" w:rsidRDefault="0039236F" w:rsidP="008120A7">
            <w:pPr>
              <w:pStyle w:val="19anodst"/>
              <w:spacing w:before="40" w:after="40"/>
              <w:jc w:val="center"/>
              <w:rPr>
                <w:rFonts w:ascii="Arial" w:hAnsi="Arial" w:cs="Arial"/>
                <w:b/>
                <w:bCs/>
                <w:iCs/>
                <w:color w:val="000000" w:themeColor="text1"/>
                <w:szCs w:val="18"/>
              </w:rPr>
            </w:pPr>
            <w:r w:rsidRPr="009F0177">
              <w:rPr>
                <w:rFonts w:ascii="Arial" w:hAnsi="Arial" w:cs="Arial"/>
                <w:b/>
                <w:bCs/>
                <w:iCs/>
                <w:color w:val="000000" w:themeColor="text1"/>
                <w:szCs w:val="18"/>
              </w:rPr>
              <w:t>Požadavek</w:t>
            </w:r>
          </w:p>
        </w:tc>
        <w:tc>
          <w:tcPr>
            <w:tcW w:w="1036" w:type="dxa"/>
            <w:shd w:val="clear" w:color="auto" w:fill="BFBFBF" w:themeFill="background1" w:themeFillShade="BF"/>
            <w:vAlign w:val="center"/>
          </w:tcPr>
          <w:p w14:paraId="1B185591" w14:textId="77777777" w:rsidR="0039236F" w:rsidRPr="009F0177" w:rsidRDefault="0039236F" w:rsidP="008120A7">
            <w:pPr>
              <w:pStyle w:val="19anodst"/>
              <w:spacing w:before="40" w:after="40"/>
              <w:jc w:val="center"/>
              <w:rPr>
                <w:rFonts w:ascii="Arial" w:hAnsi="Arial" w:cs="Arial"/>
                <w:b/>
                <w:bCs/>
                <w:iCs/>
                <w:color w:val="000000" w:themeColor="text1"/>
                <w:szCs w:val="18"/>
              </w:rPr>
            </w:pPr>
            <w:r w:rsidRPr="009F0177">
              <w:rPr>
                <w:rFonts w:ascii="Arial" w:hAnsi="Arial" w:cs="Arial"/>
                <w:b/>
                <w:bCs/>
                <w:iCs/>
                <w:color w:val="000000" w:themeColor="text1"/>
                <w:szCs w:val="18"/>
              </w:rPr>
              <w:t>Naplněn</w:t>
            </w:r>
          </w:p>
          <w:p w14:paraId="0F97578C" w14:textId="77777777" w:rsidR="0039236F" w:rsidRPr="009F0177" w:rsidRDefault="0039236F" w:rsidP="008120A7">
            <w:pPr>
              <w:pStyle w:val="19anodst"/>
              <w:spacing w:before="40" w:after="40"/>
              <w:jc w:val="center"/>
              <w:rPr>
                <w:rFonts w:ascii="Arial" w:hAnsi="Arial" w:cs="Arial"/>
                <w:b/>
                <w:bCs/>
                <w:iCs/>
                <w:color w:val="000000" w:themeColor="text1"/>
                <w:szCs w:val="18"/>
              </w:rPr>
            </w:pPr>
            <w:r w:rsidRPr="009F0177">
              <w:rPr>
                <w:rFonts w:ascii="Arial" w:hAnsi="Arial" w:cs="Arial"/>
                <w:b/>
                <w:bCs/>
                <w:iCs/>
                <w:color w:val="000000" w:themeColor="text1"/>
                <w:szCs w:val="18"/>
              </w:rPr>
              <w:t>(ANO/NE)</w:t>
            </w:r>
          </w:p>
        </w:tc>
        <w:tc>
          <w:tcPr>
            <w:tcW w:w="1657" w:type="dxa"/>
            <w:shd w:val="clear" w:color="auto" w:fill="BFBFBF" w:themeFill="background1" w:themeFillShade="BF"/>
            <w:vAlign w:val="center"/>
          </w:tcPr>
          <w:p w14:paraId="3C064E5B" w14:textId="7A9B4BFB" w:rsidR="0039236F" w:rsidRPr="009F0177" w:rsidRDefault="009F0177" w:rsidP="008120A7">
            <w:pPr>
              <w:pStyle w:val="19anodst"/>
              <w:spacing w:before="40" w:after="40"/>
              <w:jc w:val="center"/>
              <w:rPr>
                <w:rFonts w:ascii="Arial" w:hAnsi="Arial" w:cs="Arial"/>
                <w:b/>
                <w:bCs/>
                <w:iCs/>
                <w:color w:val="000000" w:themeColor="text1"/>
                <w:szCs w:val="18"/>
              </w:rPr>
            </w:pPr>
            <w:r>
              <w:rPr>
                <w:rFonts w:ascii="Arial" w:hAnsi="Arial" w:cs="Arial"/>
                <w:b/>
                <w:bCs/>
                <w:color w:val="000000"/>
                <w:szCs w:val="18"/>
              </w:rPr>
              <w:t>Popis řešení</w:t>
            </w:r>
          </w:p>
        </w:tc>
      </w:tr>
      <w:tr w:rsidR="0039236F" w:rsidRPr="009F0177" w14:paraId="4D2FFD4F" w14:textId="77777777" w:rsidTr="0039236F">
        <w:tc>
          <w:tcPr>
            <w:tcW w:w="700" w:type="dxa"/>
            <w:shd w:val="clear" w:color="auto" w:fill="auto"/>
            <w:vAlign w:val="center"/>
          </w:tcPr>
          <w:p w14:paraId="5C805612" w14:textId="2FACB9B2" w:rsidR="0039236F" w:rsidRPr="009F0177" w:rsidRDefault="0039236F" w:rsidP="0039236F">
            <w:pPr>
              <w:pStyle w:val="19anodst"/>
              <w:spacing w:before="40" w:after="40"/>
              <w:jc w:val="center"/>
              <w:rPr>
                <w:rFonts w:ascii="Arial" w:hAnsi="Arial" w:cs="Arial"/>
                <w:color w:val="000000"/>
                <w:szCs w:val="18"/>
              </w:rPr>
            </w:pPr>
            <w:r w:rsidRPr="009F0177">
              <w:rPr>
                <w:rFonts w:ascii="Arial" w:hAnsi="Arial" w:cs="Arial"/>
                <w:color w:val="000000"/>
                <w:szCs w:val="18"/>
              </w:rPr>
              <w:t>1</w:t>
            </w:r>
          </w:p>
        </w:tc>
        <w:tc>
          <w:tcPr>
            <w:tcW w:w="1563" w:type="dxa"/>
            <w:vAlign w:val="center"/>
          </w:tcPr>
          <w:p w14:paraId="4272D7DE" w14:textId="105CA94C"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Požadované</w:t>
            </w:r>
          </w:p>
        </w:tc>
        <w:tc>
          <w:tcPr>
            <w:tcW w:w="4258" w:type="dxa"/>
            <w:shd w:val="clear" w:color="auto" w:fill="auto"/>
          </w:tcPr>
          <w:p w14:paraId="4AD025A2" w14:textId="4DD794F6"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Relační vrstva L0 – „</w:t>
            </w:r>
            <w:proofErr w:type="spellStart"/>
            <w:r w:rsidRPr="009F0177">
              <w:rPr>
                <w:rFonts w:ascii="Arial" w:hAnsi="Arial" w:cs="Arial"/>
                <w:bCs/>
                <w:color w:val="000000" w:themeColor="text1"/>
                <w:szCs w:val="18"/>
              </w:rPr>
              <w:t>Stage</w:t>
            </w:r>
            <w:proofErr w:type="spellEnd"/>
            <w:r w:rsidRPr="009F0177">
              <w:rPr>
                <w:rFonts w:ascii="Arial" w:hAnsi="Arial" w:cs="Arial"/>
                <w:bCs/>
                <w:color w:val="000000" w:themeColor="text1"/>
                <w:szCs w:val="18"/>
              </w:rPr>
              <w:t>“ (</w:t>
            </w:r>
            <w:proofErr w:type="spellStart"/>
            <w:r w:rsidRPr="009F0177">
              <w:rPr>
                <w:rFonts w:ascii="Arial" w:hAnsi="Arial" w:cs="Arial"/>
                <w:bCs/>
                <w:color w:val="000000" w:themeColor="text1"/>
                <w:szCs w:val="18"/>
              </w:rPr>
              <w:t>stg</w:t>
            </w:r>
            <w:proofErr w:type="spellEnd"/>
            <w:r w:rsidRPr="009F0177">
              <w:rPr>
                <w:rFonts w:ascii="Arial" w:hAnsi="Arial" w:cs="Arial"/>
                <w:bCs/>
                <w:color w:val="000000" w:themeColor="text1"/>
                <w:szCs w:val="18"/>
              </w:rPr>
              <w:t xml:space="preserve">) slouží pro přesun dat z primárních datových zdrojů. Jednorázově bude využita také pro iniciální </w:t>
            </w:r>
            <w:proofErr w:type="spellStart"/>
            <w:r w:rsidRPr="009F0177">
              <w:rPr>
                <w:rFonts w:ascii="Arial" w:hAnsi="Arial" w:cs="Arial"/>
                <w:bCs/>
                <w:color w:val="000000" w:themeColor="text1"/>
                <w:szCs w:val="18"/>
              </w:rPr>
              <w:t>load</w:t>
            </w:r>
            <w:proofErr w:type="spellEnd"/>
            <w:r w:rsidRPr="009F0177">
              <w:rPr>
                <w:rFonts w:ascii="Arial" w:hAnsi="Arial" w:cs="Arial"/>
                <w:bCs/>
                <w:color w:val="000000" w:themeColor="text1"/>
                <w:szCs w:val="18"/>
              </w:rPr>
              <w:t xml:space="preserve"> (prvotní načtení historických dat). Pravidelná denní aktualizace pak bude obsahovat pouze ta data, u kterých lze předpokládat, že došlo k jejich aktualizaci na zdroji.</w:t>
            </w:r>
          </w:p>
        </w:tc>
        <w:tc>
          <w:tcPr>
            <w:tcW w:w="1036" w:type="dxa"/>
            <w:shd w:val="clear" w:color="auto" w:fill="auto"/>
          </w:tcPr>
          <w:p w14:paraId="2E40845B"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7C225BFD"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39236F" w:rsidRPr="009F0177" w14:paraId="6CEB37A2" w14:textId="77777777" w:rsidTr="0039236F">
        <w:tc>
          <w:tcPr>
            <w:tcW w:w="700" w:type="dxa"/>
            <w:shd w:val="clear" w:color="auto" w:fill="auto"/>
            <w:vAlign w:val="center"/>
          </w:tcPr>
          <w:p w14:paraId="4515980A" w14:textId="627A7EBA" w:rsidR="0039236F" w:rsidRPr="009F0177" w:rsidRDefault="0039236F" w:rsidP="0039236F">
            <w:pPr>
              <w:pStyle w:val="19anodst"/>
              <w:spacing w:before="40" w:after="40"/>
              <w:jc w:val="center"/>
              <w:rPr>
                <w:rFonts w:ascii="Arial" w:hAnsi="Arial" w:cs="Arial"/>
                <w:color w:val="000000"/>
                <w:szCs w:val="18"/>
              </w:rPr>
            </w:pPr>
            <w:r w:rsidRPr="009F0177">
              <w:rPr>
                <w:rFonts w:ascii="Arial" w:hAnsi="Arial" w:cs="Arial"/>
                <w:color w:val="000000"/>
                <w:szCs w:val="18"/>
              </w:rPr>
              <w:t>2</w:t>
            </w:r>
          </w:p>
        </w:tc>
        <w:tc>
          <w:tcPr>
            <w:tcW w:w="1563" w:type="dxa"/>
            <w:vAlign w:val="center"/>
          </w:tcPr>
          <w:p w14:paraId="68769764" w14:textId="105C8BDA"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Požadované</w:t>
            </w:r>
          </w:p>
        </w:tc>
        <w:tc>
          <w:tcPr>
            <w:tcW w:w="4258" w:type="dxa"/>
            <w:shd w:val="clear" w:color="auto" w:fill="auto"/>
          </w:tcPr>
          <w:p w14:paraId="289AB66A" w14:textId="496DDB59"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Relační vrstva L1 „Konsolidovaná databáze“ (</w:t>
            </w:r>
            <w:proofErr w:type="spellStart"/>
            <w:r w:rsidRPr="009F0177">
              <w:rPr>
                <w:rFonts w:ascii="Arial" w:hAnsi="Arial" w:cs="Arial"/>
                <w:bCs/>
                <w:color w:val="000000" w:themeColor="text1"/>
                <w:szCs w:val="18"/>
              </w:rPr>
              <w:t>dwh</w:t>
            </w:r>
            <w:proofErr w:type="spellEnd"/>
            <w:r w:rsidRPr="009F0177">
              <w:rPr>
                <w:rFonts w:ascii="Arial" w:hAnsi="Arial" w:cs="Arial"/>
                <w:bCs/>
                <w:color w:val="000000" w:themeColor="text1"/>
                <w:szCs w:val="18"/>
              </w:rPr>
              <w:t>)- základní relační vrstva, která plní především archivační funkci.</w:t>
            </w:r>
          </w:p>
        </w:tc>
        <w:tc>
          <w:tcPr>
            <w:tcW w:w="1036" w:type="dxa"/>
            <w:shd w:val="clear" w:color="auto" w:fill="auto"/>
          </w:tcPr>
          <w:p w14:paraId="5254C73D"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196C5AFC"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39236F" w:rsidRPr="009F0177" w14:paraId="3FAC1F52" w14:textId="77777777" w:rsidTr="0039236F">
        <w:tc>
          <w:tcPr>
            <w:tcW w:w="700" w:type="dxa"/>
            <w:shd w:val="clear" w:color="auto" w:fill="auto"/>
            <w:vAlign w:val="center"/>
          </w:tcPr>
          <w:p w14:paraId="16C223A3" w14:textId="1684C52B" w:rsidR="0039236F" w:rsidRPr="009F0177" w:rsidRDefault="0039236F" w:rsidP="0039236F">
            <w:pPr>
              <w:pStyle w:val="19anodst"/>
              <w:spacing w:before="40" w:after="40"/>
              <w:jc w:val="center"/>
              <w:rPr>
                <w:rFonts w:ascii="Arial" w:hAnsi="Arial" w:cs="Arial"/>
                <w:color w:val="000000"/>
                <w:szCs w:val="18"/>
              </w:rPr>
            </w:pPr>
            <w:r w:rsidRPr="009F0177">
              <w:rPr>
                <w:rFonts w:ascii="Arial" w:hAnsi="Arial" w:cs="Arial"/>
                <w:color w:val="000000"/>
                <w:szCs w:val="18"/>
              </w:rPr>
              <w:t>3</w:t>
            </w:r>
          </w:p>
        </w:tc>
        <w:tc>
          <w:tcPr>
            <w:tcW w:w="1563" w:type="dxa"/>
            <w:vAlign w:val="center"/>
          </w:tcPr>
          <w:p w14:paraId="30DDD957" w14:textId="7E8CC24F"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Požadované</w:t>
            </w:r>
          </w:p>
        </w:tc>
        <w:tc>
          <w:tcPr>
            <w:tcW w:w="4258" w:type="dxa"/>
            <w:shd w:val="clear" w:color="auto" w:fill="auto"/>
          </w:tcPr>
          <w:p w14:paraId="49E7B021" w14:textId="790739AC"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 xml:space="preserve">Relační vrstva L2 „Datové tržiště“- jedná se o vrstvu, která slouží jako podklad pro analytickou úroveň datového skladu. Mezi vrstvou L1 a L2 bude docházet ke značné míře transformace dat. V principu tato vrstva obsahuje tabulky faktů a číselníky pro dimenze.  </w:t>
            </w:r>
          </w:p>
        </w:tc>
        <w:tc>
          <w:tcPr>
            <w:tcW w:w="1036" w:type="dxa"/>
            <w:shd w:val="clear" w:color="auto" w:fill="auto"/>
          </w:tcPr>
          <w:p w14:paraId="585CAD71"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76769E84"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39236F" w:rsidRPr="009F0177" w14:paraId="3A45AE7A" w14:textId="77777777" w:rsidTr="0039236F">
        <w:tc>
          <w:tcPr>
            <w:tcW w:w="700" w:type="dxa"/>
            <w:shd w:val="clear" w:color="auto" w:fill="auto"/>
            <w:vAlign w:val="center"/>
          </w:tcPr>
          <w:p w14:paraId="493A5FE2" w14:textId="253C67C2" w:rsidR="0039236F" w:rsidRPr="009F0177" w:rsidRDefault="0039236F" w:rsidP="0039236F">
            <w:pPr>
              <w:pStyle w:val="19anodst"/>
              <w:spacing w:before="40" w:after="40"/>
              <w:jc w:val="center"/>
              <w:rPr>
                <w:rFonts w:ascii="Arial" w:hAnsi="Arial" w:cs="Arial"/>
                <w:color w:val="000000"/>
                <w:szCs w:val="18"/>
              </w:rPr>
            </w:pPr>
            <w:r w:rsidRPr="009F0177">
              <w:rPr>
                <w:rFonts w:ascii="Arial" w:hAnsi="Arial" w:cs="Arial"/>
                <w:color w:val="000000"/>
                <w:szCs w:val="18"/>
              </w:rPr>
              <w:t>4</w:t>
            </w:r>
          </w:p>
        </w:tc>
        <w:tc>
          <w:tcPr>
            <w:tcW w:w="1563" w:type="dxa"/>
            <w:vAlign w:val="center"/>
          </w:tcPr>
          <w:p w14:paraId="5F7D4BCC" w14:textId="19654316"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Požadované</w:t>
            </w:r>
          </w:p>
        </w:tc>
        <w:tc>
          <w:tcPr>
            <w:tcW w:w="4258" w:type="dxa"/>
            <w:shd w:val="clear" w:color="auto" w:fill="auto"/>
          </w:tcPr>
          <w:p w14:paraId="64D1C41F" w14:textId="5CCB7304"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Celková metodika řešení ukládání dat v datovém skladu respektuje popsané schéma.</w:t>
            </w:r>
          </w:p>
        </w:tc>
        <w:tc>
          <w:tcPr>
            <w:tcW w:w="1036" w:type="dxa"/>
            <w:shd w:val="clear" w:color="auto" w:fill="auto"/>
          </w:tcPr>
          <w:p w14:paraId="5E5DD27F"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506127EE"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39236F" w:rsidRPr="009F0177" w14:paraId="202C7511" w14:textId="77777777" w:rsidTr="0039236F">
        <w:tc>
          <w:tcPr>
            <w:tcW w:w="700" w:type="dxa"/>
            <w:shd w:val="clear" w:color="auto" w:fill="auto"/>
            <w:vAlign w:val="center"/>
          </w:tcPr>
          <w:p w14:paraId="1E435012" w14:textId="040839FF" w:rsidR="0039236F" w:rsidRPr="009F0177" w:rsidRDefault="0039236F" w:rsidP="0039236F">
            <w:pPr>
              <w:pStyle w:val="19anodst"/>
              <w:spacing w:before="40" w:after="40"/>
              <w:jc w:val="center"/>
              <w:rPr>
                <w:rFonts w:ascii="Arial" w:hAnsi="Arial" w:cs="Arial"/>
                <w:color w:val="000000"/>
                <w:szCs w:val="18"/>
              </w:rPr>
            </w:pPr>
            <w:r w:rsidRPr="009F0177">
              <w:rPr>
                <w:rFonts w:ascii="Arial" w:hAnsi="Arial" w:cs="Arial"/>
                <w:color w:val="000000"/>
                <w:szCs w:val="18"/>
              </w:rPr>
              <w:lastRenderedPageBreak/>
              <w:t>5</w:t>
            </w:r>
          </w:p>
        </w:tc>
        <w:tc>
          <w:tcPr>
            <w:tcW w:w="1563" w:type="dxa"/>
            <w:vAlign w:val="center"/>
          </w:tcPr>
          <w:p w14:paraId="17637C89" w14:textId="4AA5A16F"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Požadované</w:t>
            </w:r>
          </w:p>
        </w:tc>
        <w:tc>
          <w:tcPr>
            <w:tcW w:w="4258" w:type="dxa"/>
            <w:shd w:val="clear" w:color="auto" w:fill="auto"/>
          </w:tcPr>
          <w:p w14:paraId="5EAD5DDF" w14:textId="4F2F0933"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Datové pumpy načítají ve stanovených intervalech data do „nulté“ vrstvy, kde se ukládají v původní kvalitě.</w:t>
            </w:r>
          </w:p>
        </w:tc>
        <w:tc>
          <w:tcPr>
            <w:tcW w:w="1036" w:type="dxa"/>
            <w:shd w:val="clear" w:color="auto" w:fill="auto"/>
          </w:tcPr>
          <w:p w14:paraId="3BF72681"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138CEB52"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39236F" w:rsidRPr="009F0177" w14:paraId="1E47BE04" w14:textId="77777777" w:rsidTr="0039236F">
        <w:tc>
          <w:tcPr>
            <w:tcW w:w="700" w:type="dxa"/>
            <w:shd w:val="clear" w:color="auto" w:fill="auto"/>
            <w:vAlign w:val="center"/>
          </w:tcPr>
          <w:p w14:paraId="6493E391" w14:textId="5A80B641" w:rsidR="0039236F" w:rsidRPr="009F0177" w:rsidRDefault="0039236F" w:rsidP="0039236F">
            <w:pPr>
              <w:pStyle w:val="19anodst"/>
              <w:spacing w:before="40" w:after="40"/>
              <w:jc w:val="center"/>
              <w:rPr>
                <w:rFonts w:ascii="Arial" w:hAnsi="Arial" w:cs="Arial"/>
                <w:color w:val="000000"/>
                <w:szCs w:val="18"/>
              </w:rPr>
            </w:pPr>
            <w:r w:rsidRPr="009F0177">
              <w:rPr>
                <w:rFonts w:ascii="Arial" w:hAnsi="Arial" w:cs="Arial"/>
                <w:color w:val="000000"/>
                <w:szCs w:val="18"/>
              </w:rPr>
              <w:t>6</w:t>
            </w:r>
          </w:p>
        </w:tc>
        <w:tc>
          <w:tcPr>
            <w:tcW w:w="1563" w:type="dxa"/>
            <w:vAlign w:val="center"/>
          </w:tcPr>
          <w:p w14:paraId="188E1C14" w14:textId="16DCB575"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Požadované</w:t>
            </w:r>
          </w:p>
        </w:tc>
        <w:tc>
          <w:tcPr>
            <w:tcW w:w="4258" w:type="dxa"/>
            <w:shd w:val="clear" w:color="auto" w:fill="auto"/>
          </w:tcPr>
          <w:p w14:paraId="1ED7DC0C" w14:textId="2C29F4D0"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Konsolidovaná data z „nulté“ vrstvy se ukládají do „první“ vrstvy, která je základem pro všechny typy výstupů z datového skladu. Data zde budou uložena v tzv. multidimenzionálních objektech (či na obdobně fungujícím způsobu ukládání dat).</w:t>
            </w:r>
          </w:p>
        </w:tc>
        <w:tc>
          <w:tcPr>
            <w:tcW w:w="1036" w:type="dxa"/>
            <w:shd w:val="clear" w:color="auto" w:fill="auto"/>
          </w:tcPr>
          <w:p w14:paraId="5A21755A"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509FD1FD"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39236F" w:rsidRPr="009F0177" w14:paraId="4D882655" w14:textId="77777777" w:rsidTr="0039236F">
        <w:tc>
          <w:tcPr>
            <w:tcW w:w="700" w:type="dxa"/>
            <w:shd w:val="clear" w:color="auto" w:fill="auto"/>
            <w:vAlign w:val="center"/>
          </w:tcPr>
          <w:p w14:paraId="41515088" w14:textId="60A1A8F3" w:rsidR="0039236F" w:rsidRPr="009F0177" w:rsidRDefault="0039236F" w:rsidP="0039236F">
            <w:pPr>
              <w:pStyle w:val="19anodst"/>
              <w:spacing w:before="40" w:after="40"/>
              <w:jc w:val="center"/>
              <w:rPr>
                <w:rFonts w:ascii="Arial" w:hAnsi="Arial" w:cs="Arial"/>
                <w:bCs/>
                <w:color w:val="000000" w:themeColor="text1"/>
                <w:szCs w:val="18"/>
              </w:rPr>
            </w:pPr>
            <w:r w:rsidRPr="009F0177">
              <w:rPr>
                <w:rFonts w:ascii="Arial" w:hAnsi="Arial" w:cs="Arial"/>
                <w:color w:val="000000"/>
                <w:szCs w:val="18"/>
              </w:rPr>
              <w:t>7</w:t>
            </w:r>
          </w:p>
        </w:tc>
        <w:tc>
          <w:tcPr>
            <w:tcW w:w="1563" w:type="dxa"/>
            <w:vAlign w:val="center"/>
          </w:tcPr>
          <w:p w14:paraId="678B4A45" w14:textId="34DB66DE" w:rsidR="0039236F" w:rsidRPr="009F0177" w:rsidRDefault="0039236F" w:rsidP="0039236F">
            <w:pPr>
              <w:pStyle w:val="19anodst"/>
              <w:spacing w:before="40" w:after="40"/>
              <w:jc w:val="left"/>
              <w:rPr>
                <w:rFonts w:ascii="Arial" w:hAnsi="Arial" w:cs="Arial"/>
                <w:bCs/>
                <w:color w:val="000000" w:themeColor="text1"/>
                <w:szCs w:val="18"/>
                <w:highlight w:val="yellow"/>
              </w:rPr>
            </w:pPr>
            <w:r w:rsidRPr="009F0177">
              <w:rPr>
                <w:rFonts w:ascii="Arial" w:hAnsi="Arial" w:cs="Arial"/>
                <w:bCs/>
                <w:color w:val="000000" w:themeColor="text1"/>
                <w:szCs w:val="18"/>
              </w:rPr>
              <w:t>Požadované</w:t>
            </w:r>
          </w:p>
        </w:tc>
        <w:tc>
          <w:tcPr>
            <w:tcW w:w="4258" w:type="dxa"/>
            <w:shd w:val="clear" w:color="auto" w:fill="auto"/>
          </w:tcPr>
          <w:p w14:paraId="65AD233D" w14:textId="60061E66"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První vrstva je základem pro „prezentační vrstvu“ a veškeré analytické nástroje v ní obsažené.</w:t>
            </w:r>
          </w:p>
        </w:tc>
        <w:tc>
          <w:tcPr>
            <w:tcW w:w="1036" w:type="dxa"/>
            <w:shd w:val="clear" w:color="auto" w:fill="auto"/>
          </w:tcPr>
          <w:p w14:paraId="3E2DC3C3"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7CBBD931"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39236F" w:rsidRPr="009F0177" w14:paraId="5F1CD1F6" w14:textId="77777777" w:rsidTr="0039236F">
        <w:tc>
          <w:tcPr>
            <w:tcW w:w="700" w:type="dxa"/>
            <w:shd w:val="clear" w:color="auto" w:fill="auto"/>
            <w:vAlign w:val="center"/>
          </w:tcPr>
          <w:p w14:paraId="7B337CB1" w14:textId="65C92165" w:rsidR="0039236F" w:rsidRPr="009F0177" w:rsidRDefault="0039236F" w:rsidP="0039236F">
            <w:pPr>
              <w:pStyle w:val="19anodst"/>
              <w:spacing w:before="40" w:after="40"/>
              <w:jc w:val="center"/>
              <w:rPr>
                <w:rFonts w:ascii="Arial" w:hAnsi="Arial" w:cs="Arial"/>
                <w:bCs/>
                <w:color w:val="000000" w:themeColor="text1"/>
                <w:szCs w:val="18"/>
              </w:rPr>
            </w:pPr>
            <w:r w:rsidRPr="009F0177">
              <w:rPr>
                <w:rFonts w:ascii="Arial" w:hAnsi="Arial" w:cs="Arial"/>
                <w:color w:val="000000"/>
                <w:szCs w:val="18"/>
              </w:rPr>
              <w:t>8</w:t>
            </w:r>
          </w:p>
        </w:tc>
        <w:tc>
          <w:tcPr>
            <w:tcW w:w="1563" w:type="dxa"/>
            <w:vAlign w:val="center"/>
          </w:tcPr>
          <w:p w14:paraId="01438F23" w14:textId="70130092" w:rsidR="0039236F" w:rsidRPr="009F0177" w:rsidRDefault="0039236F" w:rsidP="0039236F">
            <w:pPr>
              <w:pStyle w:val="19anodst"/>
              <w:spacing w:before="40" w:after="40"/>
              <w:jc w:val="left"/>
              <w:rPr>
                <w:rFonts w:ascii="Arial" w:hAnsi="Arial" w:cs="Arial"/>
                <w:bCs/>
                <w:color w:val="000000" w:themeColor="text1"/>
                <w:szCs w:val="18"/>
                <w:highlight w:val="yellow"/>
              </w:rPr>
            </w:pPr>
            <w:r w:rsidRPr="009F0177">
              <w:rPr>
                <w:rFonts w:ascii="Arial" w:hAnsi="Arial" w:cs="Arial"/>
                <w:bCs/>
                <w:color w:val="000000" w:themeColor="text1"/>
                <w:szCs w:val="18"/>
              </w:rPr>
              <w:t>Požadované</w:t>
            </w:r>
          </w:p>
        </w:tc>
        <w:tc>
          <w:tcPr>
            <w:tcW w:w="4258" w:type="dxa"/>
            <w:shd w:val="clear" w:color="auto" w:fill="auto"/>
          </w:tcPr>
          <w:p w14:paraId="2409DBEC" w14:textId="77777777" w:rsidR="0039236F" w:rsidRPr="009F0177" w:rsidRDefault="0039236F" w:rsidP="0039236F">
            <w:pPr>
              <w:pStyle w:val="19anodst"/>
              <w:spacing w:before="40"/>
              <w:jc w:val="left"/>
              <w:rPr>
                <w:rFonts w:ascii="Arial" w:hAnsi="Arial" w:cs="Arial"/>
                <w:bCs/>
                <w:color w:val="000000" w:themeColor="text1"/>
                <w:szCs w:val="18"/>
              </w:rPr>
            </w:pPr>
            <w:r w:rsidRPr="009F0177">
              <w:rPr>
                <w:rFonts w:ascii="Arial" w:hAnsi="Arial" w:cs="Arial"/>
                <w:bCs/>
                <w:color w:val="000000" w:themeColor="text1"/>
                <w:szCs w:val="18"/>
              </w:rPr>
              <w:t>Nástroje Business Inteligence a reportovací služby zajistí:</w:t>
            </w:r>
          </w:p>
          <w:p w14:paraId="2946C261" w14:textId="77777777" w:rsidR="0039236F" w:rsidRPr="009F0177" w:rsidRDefault="0039236F" w:rsidP="0039236F">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 xml:space="preserve">přístup k reportům přes webové rozhraní </w:t>
            </w:r>
          </w:p>
          <w:p w14:paraId="1A9BCE52" w14:textId="77777777" w:rsidR="0039236F" w:rsidRPr="009F0177" w:rsidRDefault="0039236F" w:rsidP="0039236F">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export reportů do různých formátů (</w:t>
            </w:r>
            <w:proofErr w:type="spellStart"/>
            <w:r w:rsidRPr="009F0177">
              <w:rPr>
                <w:rFonts w:ascii="Arial" w:hAnsi="Arial" w:cs="Arial"/>
                <w:bCs/>
                <w:color w:val="000000" w:themeColor="text1"/>
                <w:szCs w:val="18"/>
              </w:rPr>
              <w:t>xls</w:t>
            </w:r>
            <w:proofErr w:type="spellEnd"/>
            <w:r w:rsidRPr="009F0177">
              <w:rPr>
                <w:rFonts w:ascii="Arial" w:hAnsi="Arial" w:cs="Arial"/>
                <w:bCs/>
                <w:color w:val="000000" w:themeColor="text1"/>
                <w:szCs w:val="18"/>
              </w:rPr>
              <w:t xml:space="preserve">, pdf, obrázek, text, </w:t>
            </w:r>
            <w:proofErr w:type="spellStart"/>
            <w:r w:rsidRPr="009F0177">
              <w:rPr>
                <w:rFonts w:ascii="Arial" w:hAnsi="Arial" w:cs="Arial"/>
                <w:bCs/>
                <w:color w:val="000000" w:themeColor="text1"/>
                <w:szCs w:val="18"/>
              </w:rPr>
              <w:t>xml</w:t>
            </w:r>
            <w:proofErr w:type="spellEnd"/>
            <w:r w:rsidRPr="009F0177">
              <w:rPr>
                <w:rFonts w:ascii="Arial" w:hAnsi="Arial" w:cs="Arial"/>
                <w:bCs/>
                <w:color w:val="000000" w:themeColor="text1"/>
                <w:szCs w:val="18"/>
              </w:rPr>
              <w:t xml:space="preserve"> …) </w:t>
            </w:r>
          </w:p>
          <w:p w14:paraId="6646D36A" w14:textId="77777777" w:rsidR="0039236F" w:rsidRPr="009F0177" w:rsidRDefault="0039236F" w:rsidP="0039236F">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automatickou distribuci reportů (například emailem)</w:t>
            </w:r>
          </w:p>
          <w:p w14:paraId="4629691E" w14:textId="77777777" w:rsidR="0039236F" w:rsidRPr="009F0177" w:rsidRDefault="0039236F" w:rsidP="0039236F">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 xml:space="preserve">pokročilé řízení přístupu uživatelů k reportům i vlastnímu obsahu reportů </w:t>
            </w:r>
          </w:p>
          <w:p w14:paraId="17D6D682" w14:textId="3DB2750C" w:rsidR="0039236F" w:rsidRPr="009F0177" w:rsidRDefault="0039236F" w:rsidP="0039236F">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generování reportů z více datových oblastí</w:t>
            </w:r>
          </w:p>
        </w:tc>
        <w:tc>
          <w:tcPr>
            <w:tcW w:w="1036" w:type="dxa"/>
            <w:shd w:val="clear" w:color="auto" w:fill="auto"/>
          </w:tcPr>
          <w:p w14:paraId="27EFF3D3"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3B69A647" w14:textId="77777777" w:rsidR="0039236F" w:rsidRPr="009F0177" w:rsidRDefault="0039236F" w:rsidP="0039236F">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E62BDE" w:rsidRPr="009F0177" w14:paraId="3DB326DE" w14:textId="77777777" w:rsidTr="0039236F">
        <w:tc>
          <w:tcPr>
            <w:tcW w:w="700" w:type="dxa"/>
            <w:shd w:val="clear" w:color="auto" w:fill="auto"/>
            <w:vAlign w:val="center"/>
          </w:tcPr>
          <w:p w14:paraId="6FAFBC8E" w14:textId="26D51B91" w:rsidR="00E62BDE" w:rsidRPr="009F0177" w:rsidRDefault="001F36FF" w:rsidP="00E62BDE">
            <w:pPr>
              <w:pStyle w:val="19anodst"/>
              <w:spacing w:before="40" w:after="40"/>
              <w:jc w:val="center"/>
              <w:rPr>
                <w:rFonts w:ascii="Arial" w:hAnsi="Arial" w:cs="Arial"/>
                <w:bCs/>
                <w:color w:val="000000" w:themeColor="text1"/>
                <w:szCs w:val="18"/>
              </w:rPr>
            </w:pPr>
            <w:r w:rsidRPr="009F0177">
              <w:rPr>
                <w:rFonts w:ascii="Arial" w:hAnsi="Arial" w:cs="Arial"/>
                <w:color w:val="000000"/>
                <w:szCs w:val="18"/>
              </w:rPr>
              <w:t>9</w:t>
            </w:r>
          </w:p>
        </w:tc>
        <w:tc>
          <w:tcPr>
            <w:tcW w:w="1563" w:type="dxa"/>
            <w:vAlign w:val="center"/>
          </w:tcPr>
          <w:p w14:paraId="43E18CE5" w14:textId="6AD91A99" w:rsidR="00E62BDE" w:rsidRPr="009F0177" w:rsidRDefault="00E62BDE" w:rsidP="00E62BDE">
            <w:pPr>
              <w:pStyle w:val="19anodst"/>
              <w:spacing w:before="40" w:after="40"/>
              <w:jc w:val="left"/>
              <w:rPr>
                <w:rFonts w:ascii="Arial" w:hAnsi="Arial" w:cs="Arial"/>
                <w:bCs/>
                <w:color w:val="000000" w:themeColor="text1"/>
                <w:szCs w:val="18"/>
                <w:highlight w:val="yellow"/>
              </w:rPr>
            </w:pPr>
            <w:r w:rsidRPr="009F0177">
              <w:rPr>
                <w:rFonts w:ascii="Arial" w:hAnsi="Arial" w:cs="Arial"/>
                <w:bCs/>
                <w:color w:val="000000" w:themeColor="text1"/>
                <w:szCs w:val="18"/>
              </w:rPr>
              <w:t>Požadované</w:t>
            </w:r>
          </w:p>
        </w:tc>
        <w:tc>
          <w:tcPr>
            <w:tcW w:w="4258" w:type="dxa"/>
            <w:shd w:val="clear" w:color="auto" w:fill="auto"/>
          </w:tcPr>
          <w:p w14:paraId="3EE70A07" w14:textId="25DE5C31" w:rsidR="00E62BDE" w:rsidRPr="009F0177" w:rsidRDefault="00E62BDE" w:rsidP="00E62BDE">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Bude vytvářeno automatickým denním sběrem dat přímo ze zdrojových dat ekonomického systému</w:t>
            </w:r>
          </w:p>
        </w:tc>
        <w:tc>
          <w:tcPr>
            <w:tcW w:w="1036" w:type="dxa"/>
            <w:shd w:val="clear" w:color="auto" w:fill="auto"/>
          </w:tcPr>
          <w:p w14:paraId="40788A68" w14:textId="77777777" w:rsidR="00E62BDE" w:rsidRPr="009F0177" w:rsidRDefault="00E62BDE" w:rsidP="00E62BDE">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6B6285C7" w14:textId="77777777" w:rsidR="00E62BDE" w:rsidRPr="009F0177" w:rsidRDefault="00E62BDE" w:rsidP="00E62BDE">
            <w:pPr>
              <w:pStyle w:val="19anodst"/>
              <w:spacing w:before="40" w:after="40"/>
              <w:jc w:val="center"/>
              <w:rPr>
                <w:rFonts w:ascii="Arial" w:hAnsi="Arial" w:cs="Arial"/>
                <w:b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E62BDE" w:rsidRPr="009F0177" w14:paraId="6575B0F7" w14:textId="77777777" w:rsidTr="0039236F">
        <w:tc>
          <w:tcPr>
            <w:tcW w:w="700" w:type="dxa"/>
            <w:shd w:val="clear" w:color="auto" w:fill="auto"/>
            <w:vAlign w:val="center"/>
          </w:tcPr>
          <w:p w14:paraId="2B495184" w14:textId="03330559" w:rsidR="00E62BDE" w:rsidRPr="009F0177" w:rsidRDefault="001F36FF" w:rsidP="00E62BDE">
            <w:pPr>
              <w:pStyle w:val="19anodst"/>
              <w:spacing w:before="40" w:after="40"/>
              <w:jc w:val="center"/>
              <w:rPr>
                <w:rFonts w:ascii="Arial" w:hAnsi="Arial" w:cs="Arial"/>
                <w:bCs/>
                <w:color w:val="000000" w:themeColor="text1"/>
                <w:szCs w:val="18"/>
              </w:rPr>
            </w:pPr>
            <w:r w:rsidRPr="009F0177">
              <w:rPr>
                <w:rFonts w:ascii="Arial" w:hAnsi="Arial" w:cs="Arial"/>
                <w:bCs/>
                <w:color w:val="000000" w:themeColor="text1"/>
                <w:szCs w:val="18"/>
              </w:rPr>
              <w:t>10</w:t>
            </w:r>
          </w:p>
        </w:tc>
        <w:tc>
          <w:tcPr>
            <w:tcW w:w="1563" w:type="dxa"/>
            <w:vAlign w:val="center"/>
          </w:tcPr>
          <w:p w14:paraId="36C8FB9D" w14:textId="74EB2BCE" w:rsidR="00E62BDE" w:rsidRPr="009F0177" w:rsidRDefault="00E62BDE" w:rsidP="00E62BDE">
            <w:pPr>
              <w:pStyle w:val="19anodst"/>
              <w:spacing w:before="40" w:after="40"/>
              <w:jc w:val="left"/>
              <w:rPr>
                <w:rFonts w:ascii="Arial" w:hAnsi="Arial" w:cs="Arial"/>
                <w:bCs/>
                <w:color w:val="000000" w:themeColor="text1"/>
                <w:szCs w:val="18"/>
                <w:highlight w:val="yellow"/>
              </w:rPr>
            </w:pPr>
            <w:r w:rsidRPr="009F0177">
              <w:rPr>
                <w:rFonts w:ascii="Arial" w:hAnsi="Arial" w:cs="Arial"/>
                <w:bCs/>
                <w:color w:val="000000" w:themeColor="text1"/>
                <w:szCs w:val="18"/>
              </w:rPr>
              <w:t>Požadované</w:t>
            </w:r>
          </w:p>
        </w:tc>
        <w:tc>
          <w:tcPr>
            <w:tcW w:w="4258" w:type="dxa"/>
            <w:shd w:val="clear" w:color="auto" w:fill="auto"/>
          </w:tcPr>
          <w:p w14:paraId="57697486" w14:textId="7CFC82AE" w:rsidR="00E62BDE" w:rsidRPr="009F0177" w:rsidRDefault="00E62BDE" w:rsidP="00E62BDE">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Datové tržiště poskytuje informace pro potřeby úřadu, a to až do podrobností konkrétních agendových dokladů jako faktur, poukazů, schváleném rozpočtu jeho úpravách a čerpání, a to do nejnižších podrobností, která jsou sledována v ekonomickém informačním systému</w:t>
            </w:r>
          </w:p>
        </w:tc>
        <w:tc>
          <w:tcPr>
            <w:tcW w:w="1036" w:type="dxa"/>
            <w:shd w:val="clear" w:color="auto" w:fill="auto"/>
          </w:tcPr>
          <w:p w14:paraId="03A82541" w14:textId="0CA48CEB"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64A9E9A8" w14:textId="1FBEDE27"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E62BDE" w:rsidRPr="009F0177" w14:paraId="66A3A2B8" w14:textId="77777777" w:rsidTr="0039236F">
        <w:tc>
          <w:tcPr>
            <w:tcW w:w="700" w:type="dxa"/>
            <w:shd w:val="clear" w:color="auto" w:fill="auto"/>
            <w:vAlign w:val="center"/>
          </w:tcPr>
          <w:p w14:paraId="698DDF6C" w14:textId="74B1AF94" w:rsidR="00E62BDE" w:rsidRPr="009F0177" w:rsidRDefault="001F36FF" w:rsidP="00E62BDE">
            <w:pPr>
              <w:pStyle w:val="19anodst"/>
              <w:spacing w:before="40" w:after="40"/>
              <w:jc w:val="center"/>
              <w:rPr>
                <w:rFonts w:ascii="Arial" w:hAnsi="Arial" w:cs="Arial"/>
                <w:bCs/>
                <w:color w:val="000000" w:themeColor="text1"/>
                <w:szCs w:val="18"/>
              </w:rPr>
            </w:pPr>
            <w:r w:rsidRPr="009F0177">
              <w:rPr>
                <w:rFonts w:ascii="Arial" w:hAnsi="Arial" w:cs="Arial"/>
                <w:bCs/>
                <w:color w:val="000000" w:themeColor="text1"/>
                <w:szCs w:val="18"/>
              </w:rPr>
              <w:t>11</w:t>
            </w:r>
          </w:p>
        </w:tc>
        <w:tc>
          <w:tcPr>
            <w:tcW w:w="1563" w:type="dxa"/>
            <w:vAlign w:val="center"/>
          </w:tcPr>
          <w:p w14:paraId="02C12ED8" w14:textId="51A769E4" w:rsidR="00E62BDE" w:rsidRPr="009F0177" w:rsidRDefault="00E62BDE" w:rsidP="00E62BDE">
            <w:pPr>
              <w:pStyle w:val="19anodst"/>
              <w:spacing w:before="40" w:after="40"/>
              <w:jc w:val="left"/>
              <w:rPr>
                <w:rFonts w:ascii="Arial" w:hAnsi="Arial" w:cs="Arial"/>
                <w:bCs/>
                <w:color w:val="000000" w:themeColor="text1"/>
                <w:szCs w:val="18"/>
                <w:highlight w:val="yellow"/>
              </w:rPr>
            </w:pPr>
            <w:r w:rsidRPr="009F0177">
              <w:rPr>
                <w:rFonts w:ascii="Arial" w:hAnsi="Arial" w:cs="Arial"/>
                <w:bCs/>
                <w:color w:val="000000" w:themeColor="text1"/>
                <w:szCs w:val="18"/>
              </w:rPr>
              <w:t>Požadované</w:t>
            </w:r>
          </w:p>
        </w:tc>
        <w:tc>
          <w:tcPr>
            <w:tcW w:w="4258" w:type="dxa"/>
            <w:shd w:val="clear" w:color="auto" w:fill="auto"/>
          </w:tcPr>
          <w:p w14:paraId="1E963835" w14:textId="77777777" w:rsidR="00E62BDE" w:rsidRPr="009F0177" w:rsidRDefault="00E62BDE" w:rsidP="00E62BDE">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Analýza musí být umožněna minimálně dle následujících kritérií:</w:t>
            </w:r>
          </w:p>
          <w:p w14:paraId="03F6FDB5" w14:textId="77777777" w:rsidR="00E62BDE" w:rsidRPr="009F0177" w:rsidRDefault="00E62BDE" w:rsidP="00E62BDE">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Časový rozměr schválení, úprav a vývoje čerpání dle jednotlivých fází</w:t>
            </w:r>
          </w:p>
          <w:p w14:paraId="356FC1ED" w14:textId="77777777" w:rsidR="00E62BDE" w:rsidRPr="009F0177" w:rsidRDefault="00E62BDE" w:rsidP="00E62BDE">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Funkční členění (</w:t>
            </w:r>
            <w:proofErr w:type="spellStart"/>
            <w:r w:rsidRPr="009F0177">
              <w:rPr>
                <w:rFonts w:ascii="Arial" w:hAnsi="Arial" w:cs="Arial"/>
                <w:bCs/>
                <w:color w:val="000000" w:themeColor="text1"/>
                <w:szCs w:val="18"/>
              </w:rPr>
              <w:t>OdPa</w:t>
            </w:r>
            <w:proofErr w:type="spellEnd"/>
            <w:r w:rsidRPr="009F0177">
              <w:rPr>
                <w:rFonts w:ascii="Arial" w:hAnsi="Arial" w:cs="Arial"/>
                <w:bCs/>
                <w:color w:val="000000" w:themeColor="text1"/>
                <w:szCs w:val="18"/>
              </w:rPr>
              <w:t>)</w:t>
            </w:r>
          </w:p>
          <w:p w14:paraId="1B6F6B47" w14:textId="77777777" w:rsidR="00E62BDE" w:rsidRPr="009F0177" w:rsidRDefault="00E62BDE" w:rsidP="00E62BDE">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Druhové členění (</w:t>
            </w:r>
            <w:proofErr w:type="spellStart"/>
            <w:r w:rsidRPr="009F0177">
              <w:rPr>
                <w:rFonts w:ascii="Arial" w:hAnsi="Arial" w:cs="Arial"/>
                <w:bCs/>
                <w:color w:val="000000" w:themeColor="text1"/>
                <w:szCs w:val="18"/>
              </w:rPr>
              <w:t>Pol</w:t>
            </w:r>
            <w:proofErr w:type="spellEnd"/>
            <w:r w:rsidRPr="009F0177">
              <w:rPr>
                <w:rFonts w:ascii="Arial" w:hAnsi="Arial" w:cs="Arial"/>
                <w:bCs/>
                <w:color w:val="000000" w:themeColor="text1"/>
                <w:szCs w:val="18"/>
              </w:rPr>
              <w:t xml:space="preserve">) </w:t>
            </w:r>
          </w:p>
          <w:p w14:paraId="1C7355E4" w14:textId="77777777" w:rsidR="00E62BDE" w:rsidRPr="009F0177" w:rsidRDefault="00E62BDE" w:rsidP="00E62BDE">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Účelové znaky (UZ)</w:t>
            </w:r>
          </w:p>
          <w:p w14:paraId="0FB2D02A" w14:textId="77777777" w:rsidR="00E62BDE" w:rsidRPr="009F0177" w:rsidRDefault="00E62BDE" w:rsidP="00E62BDE">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Organizační členění úřadu (ORJ)</w:t>
            </w:r>
          </w:p>
          <w:p w14:paraId="59E8A7E8" w14:textId="77777777" w:rsidR="00E62BDE" w:rsidRPr="009F0177" w:rsidRDefault="00E62BDE" w:rsidP="00E62BDE">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ORG – (další vlastní členění)</w:t>
            </w:r>
          </w:p>
          <w:p w14:paraId="4D7E6884" w14:textId="77777777" w:rsidR="00E62BDE" w:rsidRPr="009F0177" w:rsidRDefault="00E62BDE" w:rsidP="00E62BDE">
            <w:pPr>
              <w:pStyle w:val="19anodst"/>
              <w:spacing w:before="40"/>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Příjmové a výdajové účty</w:t>
            </w:r>
          </w:p>
          <w:p w14:paraId="482ECA91" w14:textId="057C65C0" w:rsidR="00E62BDE" w:rsidRPr="009F0177" w:rsidRDefault="00E62BDE" w:rsidP="00E62BDE">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Druhy dokladů</w:t>
            </w:r>
          </w:p>
        </w:tc>
        <w:tc>
          <w:tcPr>
            <w:tcW w:w="1036" w:type="dxa"/>
            <w:shd w:val="clear" w:color="auto" w:fill="auto"/>
          </w:tcPr>
          <w:p w14:paraId="461DFC10" w14:textId="785D3C48"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075BC510" w14:textId="2BDE8640"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E62BDE" w:rsidRPr="009F0177" w14:paraId="0F9A1341" w14:textId="77777777" w:rsidTr="0039236F">
        <w:tc>
          <w:tcPr>
            <w:tcW w:w="700" w:type="dxa"/>
            <w:shd w:val="clear" w:color="auto" w:fill="auto"/>
            <w:vAlign w:val="center"/>
          </w:tcPr>
          <w:p w14:paraId="10C3B07F" w14:textId="2AC52182" w:rsidR="00E62BDE" w:rsidRPr="009F0177" w:rsidRDefault="001F36FF" w:rsidP="00E62BDE">
            <w:pPr>
              <w:pStyle w:val="19anodst"/>
              <w:spacing w:before="40" w:after="40"/>
              <w:jc w:val="center"/>
              <w:rPr>
                <w:rFonts w:ascii="Arial" w:hAnsi="Arial" w:cs="Arial"/>
                <w:bCs/>
                <w:color w:val="000000" w:themeColor="text1"/>
                <w:szCs w:val="18"/>
              </w:rPr>
            </w:pPr>
            <w:r w:rsidRPr="009F0177">
              <w:rPr>
                <w:rFonts w:ascii="Arial" w:hAnsi="Arial" w:cs="Arial"/>
                <w:color w:val="000000"/>
                <w:szCs w:val="18"/>
              </w:rPr>
              <w:t>12</w:t>
            </w:r>
          </w:p>
        </w:tc>
        <w:tc>
          <w:tcPr>
            <w:tcW w:w="1563" w:type="dxa"/>
            <w:vAlign w:val="center"/>
          </w:tcPr>
          <w:p w14:paraId="3E56B368" w14:textId="2139262B" w:rsidR="00E62BDE" w:rsidRPr="009F0177" w:rsidRDefault="00E62BDE" w:rsidP="00E62BDE">
            <w:pPr>
              <w:pStyle w:val="19anodst"/>
              <w:spacing w:before="40" w:after="40"/>
              <w:jc w:val="left"/>
              <w:rPr>
                <w:rFonts w:ascii="Arial" w:hAnsi="Arial" w:cs="Arial"/>
                <w:bCs/>
                <w:color w:val="000000" w:themeColor="text1"/>
                <w:szCs w:val="18"/>
                <w:highlight w:val="yellow"/>
              </w:rPr>
            </w:pPr>
            <w:r w:rsidRPr="009F0177">
              <w:rPr>
                <w:rFonts w:ascii="Arial" w:hAnsi="Arial" w:cs="Arial"/>
                <w:bCs/>
                <w:color w:val="000000" w:themeColor="text1"/>
                <w:szCs w:val="18"/>
              </w:rPr>
              <w:t>Požadované</w:t>
            </w:r>
          </w:p>
        </w:tc>
        <w:tc>
          <w:tcPr>
            <w:tcW w:w="4258" w:type="dxa"/>
            <w:shd w:val="clear" w:color="auto" w:fill="auto"/>
          </w:tcPr>
          <w:p w14:paraId="1F2D6A42" w14:textId="2879F99E" w:rsidR="00E62BDE" w:rsidRPr="009F0177" w:rsidRDefault="00E62BDE" w:rsidP="00E62BDE">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Pro potřeby reportingu umožní řešení analyzovat aktuální zdroje, mimorozpočtové zdroje, blokace rozpočtu až po čerpání, pro podrobnější analýzu bude možné provádět analýzy až do konkrétních rozpočtových dokladů, jež se rozpočtu týkají vč. dalších popisných informací.</w:t>
            </w:r>
          </w:p>
        </w:tc>
        <w:tc>
          <w:tcPr>
            <w:tcW w:w="1036" w:type="dxa"/>
            <w:shd w:val="clear" w:color="auto" w:fill="auto"/>
          </w:tcPr>
          <w:p w14:paraId="2C5238C6" w14:textId="12D114E7"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6958D2C1" w14:textId="7A1B989D"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E62BDE" w:rsidRPr="009F0177" w14:paraId="3AA421B6" w14:textId="77777777" w:rsidTr="0039236F">
        <w:tc>
          <w:tcPr>
            <w:tcW w:w="700" w:type="dxa"/>
            <w:shd w:val="clear" w:color="auto" w:fill="auto"/>
            <w:vAlign w:val="center"/>
          </w:tcPr>
          <w:p w14:paraId="551ED368" w14:textId="0DA168A9" w:rsidR="00E62BDE" w:rsidRPr="009F0177" w:rsidRDefault="001F36FF" w:rsidP="00E62BDE">
            <w:pPr>
              <w:pStyle w:val="19anodst"/>
              <w:spacing w:before="40" w:after="40"/>
              <w:jc w:val="center"/>
              <w:rPr>
                <w:rFonts w:ascii="Arial" w:hAnsi="Arial" w:cs="Arial"/>
                <w:bCs/>
                <w:color w:val="000000" w:themeColor="text1"/>
                <w:szCs w:val="18"/>
              </w:rPr>
            </w:pPr>
            <w:r w:rsidRPr="009F0177">
              <w:rPr>
                <w:rFonts w:ascii="Arial" w:hAnsi="Arial" w:cs="Arial"/>
                <w:color w:val="000000"/>
                <w:szCs w:val="18"/>
              </w:rPr>
              <w:t>13</w:t>
            </w:r>
          </w:p>
        </w:tc>
        <w:tc>
          <w:tcPr>
            <w:tcW w:w="1563" w:type="dxa"/>
            <w:vAlign w:val="center"/>
          </w:tcPr>
          <w:p w14:paraId="1AA123A9" w14:textId="7CA2DCFD" w:rsidR="00E62BDE" w:rsidRPr="009F0177" w:rsidRDefault="00E62BDE" w:rsidP="00E62BDE">
            <w:pPr>
              <w:pStyle w:val="19anodst"/>
              <w:spacing w:before="40" w:after="40"/>
              <w:jc w:val="left"/>
              <w:rPr>
                <w:rFonts w:ascii="Arial" w:hAnsi="Arial" w:cs="Arial"/>
                <w:bCs/>
                <w:color w:val="000000" w:themeColor="text1"/>
                <w:szCs w:val="18"/>
                <w:highlight w:val="yellow"/>
              </w:rPr>
            </w:pPr>
            <w:r w:rsidRPr="009F0177">
              <w:rPr>
                <w:rFonts w:ascii="Arial" w:hAnsi="Arial" w:cs="Arial"/>
                <w:bCs/>
                <w:color w:val="000000" w:themeColor="text1"/>
                <w:szCs w:val="18"/>
              </w:rPr>
              <w:t>Požadované</w:t>
            </w:r>
          </w:p>
        </w:tc>
        <w:tc>
          <w:tcPr>
            <w:tcW w:w="4258" w:type="dxa"/>
            <w:shd w:val="clear" w:color="auto" w:fill="auto"/>
          </w:tcPr>
          <w:p w14:paraId="32E1CCEF" w14:textId="0F04C4BB" w:rsidR="00E62BDE" w:rsidRPr="009F0177" w:rsidRDefault="00E62BDE" w:rsidP="00E62BDE">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Datové tržiště umožní sestavovat výkazy úřadu, včetně analýzy účetních dat dle závazných výkazů, tj. rozvahy, výkaz zisku a ztráty</w:t>
            </w:r>
          </w:p>
        </w:tc>
        <w:tc>
          <w:tcPr>
            <w:tcW w:w="1036" w:type="dxa"/>
            <w:shd w:val="clear" w:color="auto" w:fill="auto"/>
          </w:tcPr>
          <w:p w14:paraId="1B7FABB1" w14:textId="0FBAAFCE"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0BEA67FE" w14:textId="07F7338D"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E62BDE" w:rsidRPr="009F0177" w14:paraId="24845B04" w14:textId="77777777" w:rsidTr="0039236F">
        <w:tc>
          <w:tcPr>
            <w:tcW w:w="700" w:type="dxa"/>
            <w:shd w:val="clear" w:color="auto" w:fill="auto"/>
            <w:vAlign w:val="center"/>
          </w:tcPr>
          <w:p w14:paraId="58FA87ED" w14:textId="0B7E0F00" w:rsidR="00E62BDE" w:rsidRPr="009F0177" w:rsidRDefault="001F36FF" w:rsidP="00E62BDE">
            <w:pPr>
              <w:pStyle w:val="19anodst"/>
              <w:spacing w:before="40" w:after="40"/>
              <w:jc w:val="center"/>
              <w:rPr>
                <w:rFonts w:ascii="Arial" w:hAnsi="Arial" w:cs="Arial"/>
                <w:bCs/>
                <w:color w:val="000000" w:themeColor="text1"/>
                <w:szCs w:val="18"/>
              </w:rPr>
            </w:pPr>
            <w:r w:rsidRPr="009F0177">
              <w:rPr>
                <w:rFonts w:ascii="Arial" w:hAnsi="Arial" w:cs="Arial"/>
                <w:color w:val="000000"/>
                <w:szCs w:val="18"/>
              </w:rPr>
              <w:t>14</w:t>
            </w:r>
          </w:p>
        </w:tc>
        <w:tc>
          <w:tcPr>
            <w:tcW w:w="1563" w:type="dxa"/>
            <w:vAlign w:val="center"/>
          </w:tcPr>
          <w:p w14:paraId="1E3D7EBE" w14:textId="1389FBE2" w:rsidR="00E62BDE" w:rsidRPr="009F0177" w:rsidRDefault="00E62BDE" w:rsidP="00E62BDE">
            <w:pPr>
              <w:pStyle w:val="19anodst"/>
              <w:spacing w:before="40" w:after="40"/>
              <w:jc w:val="left"/>
              <w:rPr>
                <w:rFonts w:ascii="Arial" w:hAnsi="Arial" w:cs="Arial"/>
                <w:bCs/>
                <w:color w:val="000000" w:themeColor="text1"/>
                <w:szCs w:val="18"/>
                <w:highlight w:val="yellow"/>
              </w:rPr>
            </w:pPr>
            <w:r w:rsidRPr="009F0177">
              <w:rPr>
                <w:rFonts w:ascii="Arial" w:hAnsi="Arial" w:cs="Arial"/>
                <w:bCs/>
                <w:color w:val="000000" w:themeColor="text1"/>
                <w:szCs w:val="18"/>
              </w:rPr>
              <w:t>Požadované</w:t>
            </w:r>
          </w:p>
        </w:tc>
        <w:tc>
          <w:tcPr>
            <w:tcW w:w="4258" w:type="dxa"/>
            <w:shd w:val="clear" w:color="auto" w:fill="auto"/>
          </w:tcPr>
          <w:p w14:paraId="38340B3A" w14:textId="2F90CD04" w:rsidR="00E62BDE" w:rsidRPr="009F0177" w:rsidRDefault="00E62BDE" w:rsidP="00E62BDE">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Datové tržiště umožní analýzu dat účetnictví, účetního deníku nebo stavů, a to do nejnižší podrobnosti, která je sledována v ekonomickém informačním systému</w:t>
            </w:r>
          </w:p>
        </w:tc>
        <w:tc>
          <w:tcPr>
            <w:tcW w:w="1036" w:type="dxa"/>
            <w:shd w:val="clear" w:color="auto" w:fill="auto"/>
          </w:tcPr>
          <w:p w14:paraId="3F9F7F7F" w14:textId="3181672A"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64EAF34A" w14:textId="4C5F7FE9"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E62BDE" w:rsidRPr="009F0177" w14:paraId="05965DC3" w14:textId="77777777" w:rsidTr="0039236F">
        <w:tc>
          <w:tcPr>
            <w:tcW w:w="700" w:type="dxa"/>
            <w:shd w:val="clear" w:color="auto" w:fill="auto"/>
            <w:vAlign w:val="center"/>
          </w:tcPr>
          <w:p w14:paraId="63CD27FF" w14:textId="4FA1F1D8" w:rsidR="00E62BDE" w:rsidRPr="009F0177" w:rsidRDefault="001F36FF" w:rsidP="00E62BDE">
            <w:pPr>
              <w:pStyle w:val="19anodst"/>
              <w:spacing w:before="40" w:after="40"/>
              <w:jc w:val="center"/>
              <w:rPr>
                <w:rFonts w:ascii="Arial" w:hAnsi="Arial" w:cs="Arial"/>
                <w:bCs/>
                <w:color w:val="000000" w:themeColor="text1"/>
                <w:szCs w:val="18"/>
              </w:rPr>
            </w:pPr>
            <w:r w:rsidRPr="009F0177">
              <w:rPr>
                <w:rFonts w:ascii="Arial" w:hAnsi="Arial" w:cs="Arial"/>
                <w:color w:val="000000"/>
                <w:szCs w:val="18"/>
              </w:rPr>
              <w:t>15</w:t>
            </w:r>
          </w:p>
        </w:tc>
        <w:tc>
          <w:tcPr>
            <w:tcW w:w="1563" w:type="dxa"/>
            <w:vAlign w:val="center"/>
          </w:tcPr>
          <w:p w14:paraId="508443B8" w14:textId="20BDAEEE" w:rsidR="00E62BDE" w:rsidRPr="009F0177" w:rsidRDefault="00E62BDE" w:rsidP="00E62BDE">
            <w:pPr>
              <w:pStyle w:val="19anodst"/>
              <w:spacing w:before="40" w:after="40"/>
              <w:jc w:val="left"/>
              <w:rPr>
                <w:rFonts w:ascii="Arial" w:hAnsi="Arial" w:cs="Arial"/>
                <w:bCs/>
                <w:color w:val="000000" w:themeColor="text1"/>
                <w:szCs w:val="18"/>
                <w:highlight w:val="yellow"/>
              </w:rPr>
            </w:pPr>
            <w:r w:rsidRPr="009F0177">
              <w:rPr>
                <w:rFonts w:ascii="Arial" w:hAnsi="Arial" w:cs="Arial"/>
                <w:bCs/>
                <w:color w:val="000000" w:themeColor="text1"/>
                <w:szCs w:val="18"/>
              </w:rPr>
              <w:t>Požadované</w:t>
            </w:r>
          </w:p>
        </w:tc>
        <w:tc>
          <w:tcPr>
            <w:tcW w:w="4258" w:type="dxa"/>
            <w:shd w:val="clear" w:color="auto" w:fill="auto"/>
          </w:tcPr>
          <w:p w14:paraId="27ECA027" w14:textId="77777777" w:rsidR="00E62BDE" w:rsidRPr="009F0177" w:rsidRDefault="00E62BDE" w:rsidP="00E62BDE">
            <w:pPr>
              <w:pStyle w:val="19anodst"/>
              <w:spacing w:before="40"/>
              <w:jc w:val="left"/>
              <w:rPr>
                <w:rFonts w:ascii="Arial" w:hAnsi="Arial" w:cs="Arial"/>
                <w:bCs/>
                <w:color w:val="000000" w:themeColor="text1"/>
                <w:szCs w:val="18"/>
              </w:rPr>
            </w:pPr>
            <w:r w:rsidRPr="009F0177">
              <w:rPr>
                <w:rFonts w:ascii="Arial" w:hAnsi="Arial" w:cs="Arial"/>
                <w:bCs/>
                <w:color w:val="000000" w:themeColor="text1"/>
                <w:szCs w:val="18"/>
              </w:rPr>
              <w:t>Analýza musí být umožněna minimálně dle všech slov účetní věty – tzn.:</w:t>
            </w:r>
          </w:p>
          <w:p w14:paraId="3BC8BAC8" w14:textId="77777777" w:rsidR="00E62BDE" w:rsidRPr="009F0177" w:rsidRDefault="00E62BDE" w:rsidP="00E62BDE">
            <w:pPr>
              <w:pStyle w:val="19anodst"/>
              <w:spacing w:before="40"/>
              <w:jc w:val="left"/>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Časový rozměr – datum účetního případu</w:t>
            </w:r>
          </w:p>
          <w:p w14:paraId="1EB2507E" w14:textId="77777777" w:rsidR="00E62BDE" w:rsidRPr="009F0177" w:rsidRDefault="00E62BDE" w:rsidP="00E62BDE">
            <w:pPr>
              <w:pStyle w:val="19anodst"/>
              <w:spacing w:before="40"/>
              <w:jc w:val="left"/>
              <w:rPr>
                <w:rFonts w:ascii="Arial" w:hAnsi="Arial" w:cs="Arial"/>
                <w:bCs/>
                <w:color w:val="000000" w:themeColor="text1"/>
                <w:szCs w:val="18"/>
              </w:rPr>
            </w:pPr>
            <w:r w:rsidRPr="009F0177">
              <w:rPr>
                <w:rFonts w:ascii="Arial" w:hAnsi="Arial" w:cs="Arial"/>
                <w:bCs/>
                <w:color w:val="000000" w:themeColor="text1"/>
                <w:szCs w:val="18"/>
              </w:rPr>
              <w:lastRenderedPageBreak/>
              <w:t>•</w:t>
            </w:r>
            <w:r w:rsidRPr="009F0177">
              <w:rPr>
                <w:rFonts w:ascii="Arial" w:hAnsi="Arial" w:cs="Arial"/>
                <w:bCs/>
                <w:color w:val="000000" w:themeColor="text1"/>
                <w:szCs w:val="18"/>
              </w:rPr>
              <w:tab/>
              <w:t>Syntetický a analytický účet (Rozvahové, výsledkové a podrozvahové účty…)</w:t>
            </w:r>
          </w:p>
          <w:p w14:paraId="39C6B057" w14:textId="77777777" w:rsidR="00E62BDE" w:rsidRPr="009F0177" w:rsidRDefault="00E62BDE" w:rsidP="00E62BDE">
            <w:pPr>
              <w:pStyle w:val="19anodst"/>
              <w:spacing w:before="40"/>
              <w:jc w:val="left"/>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Druhové členění (</w:t>
            </w:r>
            <w:proofErr w:type="spellStart"/>
            <w:r w:rsidRPr="009F0177">
              <w:rPr>
                <w:rFonts w:ascii="Arial" w:hAnsi="Arial" w:cs="Arial"/>
                <w:bCs/>
                <w:color w:val="000000" w:themeColor="text1"/>
                <w:szCs w:val="18"/>
              </w:rPr>
              <w:t>Pol</w:t>
            </w:r>
            <w:proofErr w:type="spellEnd"/>
            <w:r w:rsidRPr="009F0177">
              <w:rPr>
                <w:rFonts w:ascii="Arial" w:hAnsi="Arial" w:cs="Arial"/>
                <w:bCs/>
                <w:color w:val="000000" w:themeColor="text1"/>
                <w:szCs w:val="18"/>
              </w:rPr>
              <w:t xml:space="preserve">) </w:t>
            </w:r>
          </w:p>
          <w:p w14:paraId="1667C6C9" w14:textId="77777777" w:rsidR="00E62BDE" w:rsidRPr="009F0177" w:rsidRDefault="00E62BDE" w:rsidP="00E62BDE">
            <w:pPr>
              <w:pStyle w:val="19anodst"/>
              <w:spacing w:before="40"/>
              <w:jc w:val="left"/>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Účelové znaky (UZ)</w:t>
            </w:r>
          </w:p>
          <w:p w14:paraId="2641C3F2" w14:textId="77777777" w:rsidR="00E62BDE" w:rsidRPr="009F0177" w:rsidRDefault="00E62BDE" w:rsidP="00E62BDE">
            <w:pPr>
              <w:pStyle w:val="19anodst"/>
              <w:spacing w:before="40"/>
              <w:jc w:val="left"/>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Organizační členění úřadu (ORJ)</w:t>
            </w:r>
          </w:p>
          <w:p w14:paraId="4406D3DC" w14:textId="77777777" w:rsidR="00E62BDE" w:rsidRPr="009F0177" w:rsidRDefault="00E62BDE" w:rsidP="00E62BDE">
            <w:pPr>
              <w:pStyle w:val="19anodst"/>
              <w:spacing w:before="40"/>
              <w:jc w:val="left"/>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ORG – (další vlastní členění)</w:t>
            </w:r>
          </w:p>
          <w:p w14:paraId="54FA7A8F" w14:textId="77777777" w:rsidR="00E62BDE" w:rsidRPr="009F0177" w:rsidRDefault="00E62BDE" w:rsidP="00E62BDE">
            <w:pPr>
              <w:pStyle w:val="19anodst"/>
              <w:spacing w:before="40"/>
              <w:jc w:val="left"/>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Účetní doklady</w:t>
            </w:r>
          </w:p>
          <w:p w14:paraId="7D26BAC3" w14:textId="283C9F69" w:rsidR="00E62BDE" w:rsidRPr="009F0177" w:rsidRDefault="00E62BDE" w:rsidP="00E62BDE">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w:t>
            </w:r>
            <w:r w:rsidRPr="009F0177">
              <w:rPr>
                <w:rFonts w:ascii="Arial" w:hAnsi="Arial" w:cs="Arial"/>
                <w:bCs/>
                <w:color w:val="000000" w:themeColor="text1"/>
                <w:szCs w:val="18"/>
              </w:rPr>
              <w:tab/>
              <w:t>Externí subjekty</w:t>
            </w:r>
          </w:p>
        </w:tc>
        <w:tc>
          <w:tcPr>
            <w:tcW w:w="1036" w:type="dxa"/>
            <w:shd w:val="clear" w:color="auto" w:fill="auto"/>
          </w:tcPr>
          <w:p w14:paraId="51D7D1A3" w14:textId="06BAFCB1"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lastRenderedPageBreak/>
              <w:t xml:space="preserve">doplní účastník </w:t>
            </w:r>
          </w:p>
        </w:tc>
        <w:tc>
          <w:tcPr>
            <w:tcW w:w="1657" w:type="dxa"/>
            <w:shd w:val="clear" w:color="auto" w:fill="auto"/>
          </w:tcPr>
          <w:p w14:paraId="5F922B5C" w14:textId="4E7CCD1E"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r w:rsidR="00E62BDE" w:rsidRPr="009F0177" w14:paraId="38C0AB7F" w14:textId="77777777" w:rsidTr="0039236F">
        <w:tc>
          <w:tcPr>
            <w:tcW w:w="700" w:type="dxa"/>
            <w:shd w:val="clear" w:color="auto" w:fill="auto"/>
            <w:vAlign w:val="center"/>
          </w:tcPr>
          <w:p w14:paraId="61AD7E0A" w14:textId="2AAC7F3C" w:rsidR="00E62BDE" w:rsidRPr="009F0177" w:rsidRDefault="001F36FF" w:rsidP="00E62BDE">
            <w:pPr>
              <w:pStyle w:val="19anodst"/>
              <w:spacing w:before="40" w:after="40"/>
              <w:jc w:val="center"/>
              <w:rPr>
                <w:rFonts w:ascii="Arial" w:hAnsi="Arial" w:cs="Arial"/>
                <w:bCs/>
                <w:color w:val="000000" w:themeColor="text1"/>
                <w:szCs w:val="18"/>
              </w:rPr>
            </w:pPr>
            <w:r w:rsidRPr="009F0177">
              <w:rPr>
                <w:rFonts w:ascii="Arial" w:hAnsi="Arial" w:cs="Arial"/>
                <w:color w:val="000000"/>
                <w:szCs w:val="18"/>
              </w:rPr>
              <w:t>16</w:t>
            </w:r>
          </w:p>
        </w:tc>
        <w:tc>
          <w:tcPr>
            <w:tcW w:w="1563" w:type="dxa"/>
            <w:vAlign w:val="center"/>
          </w:tcPr>
          <w:p w14:paraId="57C920E5" w14:textId="294A7447" w:rsidR="00E62BDE" w:rsidRPr="009F0177" w:rsidRDefault="00E62BDE" w:rsidP="00E62BDE">
            <w:pPr>
              <w:pStyle w:val="19anodst"/>
              <w:spacing w:before="40" w:after="40"/>
              <w:jc w:val="left"/>
              <w:rPr>
                <w:rFonts w:ascii="Arial" w:hAnsi="Arial" w:cs="Arial"/>
                <w:bCs/>
                <w:color w:val="000000" w:themeColor="text1"/>
                <w:szCs w:val="18"/>
                <w:highlight w:val="yellow"/>
              </w:rPr>
            </w:pPr>
            <w:r w:rsidRPr="009F0177">
              <w:rPr>
                <w:rFonts w:ascii="Arial" w:hAnsi="Arial" w:cs="Arial"/>
                <w:bCs/>
                <w:color w:val="000000" w:themeColor="text1"/>
                <w:szCs w:val="18"/>
              </w:rPr>
              <w:t>Požadované</w:t>
            </w:r>
          </w:p>
        </w:tc>
        <w:tc>
          <w:tcPr>
            <w:tcW w:w="4258" w:type="dxa"/>
            <w:shd w:val="clear" w:color="auto" w:fill="auto"/>
          </w:tcPr>
          <w:p w14:paraId="59FFD42C" w14:textId="285B8BC1" w:rsidR="00E62BDE" w:rsidRPr="009F0177" w:rsidRDefault="00E62BDE" w:rsidP="00E62BDE">
            <w:pPr>
              <w:pStyle w:val="19anodst"/>
              <w:spacing w:before="40" w:after="40"/>
              <w:jc w:val="left"/>
              <w:rPr>
                <w:rFonts w:ascii="Arial" w:hAnsi="Arial" w:cs="Arial"/>
                <w:bCs/>
                <w:color w:val="000000" w:themeColor="text1"/>
                <w:szCs w:val="18"/>
              </w:rPr>
            </w:pPr>
            <w:r w:rsidRPr="009F0177">
              <w:rPr>
                <w:rFonts w:ascii="Arial" w:hAnsi="Arial" w:cs="Arial"/>
                <w:bCs/>
                <w:color w:val="000000" w:themeColor="text1"/>
                <w:szCs w:val="18"/>
              </w:rPr>
              <w:t>Pro potřeby reportingu bude možné analyzovat počáteční stavy i běžný rok, obraty, zůstatky atd.</w:t>
            </w:r>
          </w:p>
        </w:tc>
        <w:tc>
          <w:tcPr>
            <w:tcW w:w="1036" w:type="dxa"/>
            <w:shd w:val="clear" w:color="auto" w:fill="auto"/>
          </w:tcPr>
          <w:p w14:paraId="467B73CD" w14:textId="24D5E84B"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c>
          <w:tcPr>
            <w:tcW w:w="1657" w:type="dxa"/>
            <w:shd w:val="clear" w:color="auto" w:fill="auto"/>
          </w:tcPr>
          <w:p w14:paraId="091654D2" w14:textId="3D3D4A68" w:rsidR="00E62BDE" w:rsidRPr="009F0177" w:rsidRDefault="00E62BDE" w:rsidP="00E62BDE">
            <w:pPr>
              <w:pStyle w:val="19anodst"/>
              <w:spacing w:before="40" w:after="40"/>
              <w:jc w:val="center"/>
              <w:rPr>
                <w:rFonts w:ascii="Arial" w:hAnsi="Arial" w:cs="Arial"/>
                <w:bCs/>
                <w:i/>
                <w:iCs/>
                <w:color w:val="000000" w:themeColor="text1"/>
                <w:szCs w:val="18"/>
                <w:highlight w:val="yellow"/>
              </w:rPr>
            </w:pPr>
            <w:r w:rsidRPr="009F0177">
              <w:rPr>
                <w:rFonts w:ascii="Arial" w:hAnsi="Arial" w:cs="Arial"/>
                <w:bCs/>
                <w:i/>
                <w:iCs/>
                <w:color w:val="000000" w:themeColor="text1"/>
                <w:szCs w:val="18"/>
                <w:highlight w:val="yellow"/>
              </w:rPr>
              <w:t xml:space="preserve">doplní účastník </w:t>
            </w:r>
          </w:p>
        </w:tc>
      </w:tr>
    </w:tbl>
    <w:p w14:paraId="22F27B0B" w14:textId="77777777" w:rsidR="0039236F" w:rsidRPr="00096926" w:rsidRDefault="0039236F" w:rsidP="00A27162"/>
    <w:p w14:paraId="04640D32" w14:textId="64757CD2" w:rsidR="00A27162" w:rsidRDefault="00A27162" w:rsidP="00501924">
      <w:pPr>
        <w:rPr>
          <w:b/>
          <w:bCs/>
          <w:u w:val="single"/>
        </w:rPr>
      </w:pPr>
      <w:r w:rsidRPr="00A27162">
        <w:rPr>
          <w:b/>
          <w:bCs/>
          <w:u w:val="single"/>
        </w:rPr>
        <w:t>Účastník musí všechny povinné parametry splnit, v případě nesplnění je jeho nabídka vyloučena.</w:t>
      </w:r>
    </w:p>
    <w:p w14:paraId="6010C897" w14:textId="77777777" w:rsidR="009F0177" w:rsidRPr="00EF0191" w:rsidRDefault="009F0177" w:rsidP="00501924">
      <w:pPr>
        <w:rPr>
          <w:b/>
          <w:bCs/>
          <w:u w:val="single"/>
        </w:rPr>
      </w:pPr>
    </w:p>
    <w:p w14:paraId="49DA56DF" w14:textId="77777777" w:rsidR="00514BB3" w:rsidRPr="00087E3F" w:rsidRDefault="00514BB3" w:rsidP="00514BB3">
      <w:pPr>
        <w:pStyle w:val="Nadpis2"/>
      </w:pPr>
      <w:r w:rsidRPr="00087E3F">
        <w:t xml:space="preserve">Požadavky </w:t>
      </w:r>
      <w:r w:rsidRPr="00E377DC">
        <w:t>kompatibilitu s ostatními systémy</w:t>
      </w:r>
    </w:p>
    <w:p w14:paraId="584372D1" w14:textId="7F89F21B" w:rsidR="00514BB3" w:rsidRDefault="00514BB3" w:rsidP="00514BB3">
      <w:r w:rsidRPr="004A5821">
        <w:t xml:space="preserve">Integrace se zachovávanými aplikacemi zahrnuje také integraci s celostátními systémy. Pro všechny integrace zajistí zadavatel součinnost a nezbytné technické podmínky pro realizaci integrace, u datových integrací (import dat) zajistí vstupní data.  </w:t>
      </w:r>
    </w:p>
    <w:p w14:paraId="2E98928B" w14:textId="77777777" w:rsidR="00514BB3" w:rsidRDefault="00514BB3" w:rsidP="00514BB3">
      <w:r w:rsidRPr="005C7493">
        <w:t>Všechny software komponenty dodávaného řešení musí disponovat otevřeným API rozhraním na bázi webových služeb, jehož dokumentace bude součástí dodávky.  Rozhraní umožní prostřednictvím v něm obsažených funkcí přístup k datům dodávaného systému/systémů pro čtení a zápis.</w:t>
      </w:r>
    </w:p>
    <w:p w14:paraId="2E3AB770" w14:textId="77777777" w:rsidR="00514BB3" w:rsidRPr="006B24A5" w:rsidRDefault="00514BB3" w:rsidP="00514BB3">
      <w:r w:rsidRPr="006B24A5">
        <w:t>Integrace Portál Občana – integrace pro zobrazení dat bude čerpat data z</w:t>
      </w:r>
      <w:r>
        <w:t> </w:t>
      </w:r>
      <w:r w:rsidRPr="006B24A5">
        <w:t>agend</w:t>
      </w:r>
      <w:r>
        <w:t xml:space="preserve"> např.</w:t>
      </w:r>
      <w:r w:rsidRPr="006B24A5">
        <w:t xml:space="preserve"> Pohledávk</w:t>
      </w:r>
      <w:r>
        <w:t>y, Poplatky atp.</w:t>
      </w:r>
      <w:r w:rsidRPr="006B24A5">
        <w:t xml:space="preserve"> Portál bude čerpat data o pohledávkách vůči úřadu a umožní provádět jejich souhrn. Dále z této agendy zobrazí již proběhlé, neproběhlé a budoucí platby. Portál bude integrován na elektronickou spisovou službu pro zajištění přímého podání dokumentů vytvořených v Portálu občana do elektronické spisové služby podle aktuálně platných legislativních požadavků. </w:t>
      </w:r>
    </w:p>
    <w:p w14:paraId="1D9C0E78" w14:textId="77777777" w:rsidR="00514BB3" w:rsidRDefault="00514BB3" w:rsidP="00514BB3">
      <w:r>
        <w:t>Agendy pracující se záznamy občanů, OSVČ a právnických osob musí umožňovat integraci na ISZR (Informační systém základních registrů) oprávněným uživatelům pro ověření a ztotožnění subjektů evidovaných v agendě na záznamy v Systému základních registrů. Musí být zajištěno ověření v SZR RUIAN, ROB i ROS a zajištěn přístup na základě agendy a činnostní role včetně logování přístupů do ISZR.</w:t>
      </w:r>
    </w:p>
    <w:p w14:paraId="06E3CFB7" w14:textId="77777777" w:rsidR="00514BB3" w:rsidRDefault="00514BB3" w:rsidP="00514BB3">
      <w:r>
        <w:t>Agendy zpracovávající údaje občanů, OSVČ a právnických osob musí umožnit integraci na ISDS (Informační systém datových schránek) pro zajištění funkcí ověření subjektu, kontrolu jeho aktivní datové schránky a následné procesy odesílání a příjmu datových zpráv z datové schránky úřadu.</w:t>
      </w:r>
    </w:p>
    <w:p w14:paraId="6CA442D8" w14:textId="77777777" w:rsidR="00514BB3" w:rsidRDefault="00514BB3" w:rsidP="00514BB3">
      <w:r>
        <w:t>Elektronická spisová služba vyžaduje realizaci integrace na centrální systém RŽP (systém Registru živnostenského podnikání MPO) pro zajištění obousměrné výměny informací o dokumentech, zásilkách a spisech mezi systémem RŽP a ESS úřadu. Rozhraní musí být zajištěno podle aktuálně platných požadavků centrálního systému a realizováno rozhraním podle NSESSS.</w:t>
      </w:r>
    </w:p>
    <w:p w14:paraId="74A54E7A" w14:textId="77777777" w:rsidR="00514BB3" w:rsidRDefault="00514BB3" w:rsidP="00514BB3">
      <w:r>
        <w:t>Komodity využívající funkce odesílání e-mailu nebo příjem zpráv z e-mailové schránky (např. elektronická podatelna) musí umožnit integraci na mailový server úřadu včetně respektování příp. legislativních požadavků na zabezpečení této komunikace (požadavky na elektronická podání).</w:t>
      </w:r>
    </w:p>
    <w:p w14:paraId="04C0A1D3" w14:textId="77777777" w:rsidR="00514BB3" w:rsidRDefault="00514BB3" w:rsidP="00514BB3">
      <w:r>
        <w:t>Komodity pracující s elektronickými dokumenty a jejich elektronickými certifikáty případně agendy využívající funkce elektronického podpisu musí umožnit kontrolu důvěryhodných certifikačních autorit v operačním systému a základní kontrolu platnosti elektronických certifikátů.</w:t>
      </w:r>
    </w:p>
    <w:p w14:paraId="43973CDD" w14:textId="77777777" w:rsidR="009F0177" w:rsidRDefault="009F0177" w:rsidP="00514BB3"/>
    <w:p w14:paraId="3EB9EB05" w14:textId="77777777" w:rsidR="00514BB3" w:rsidRPr="00087E3F" w:rsidRDefault="00514BB3" w:rsidP="00514BB3">
      <w:pPr>
        <w:pStyle w:val="Nadpis2"/>
      </w:pPr>
      <w:r w:rsidRPr="00087E3F">
        <w:lastRenderedPageBreak/>
        <w:t>Požadavky na typy klientů</w:t>
      </w:r>
    </w:p>
    <w:tbl>
      <w:tblPr>
        <w:tblW w:w="8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630"/>
        <w:gridCol w:w="4182"/>
        <w:gridCol w:w="1276"/>
        <w:gridCol w:w="1018"/>
      </w:tblGrid>
      <w:tr w:rsidR="00514BB3" w:rsidRPr="00514BB3" w14:paraId="5A43A1EC" w14:textId="77777777" w:rsidTr="00514BB3">
        <w:tc>
          <w:tcPr>
            <w:tcW w:w="709" w:type="dxa"/>
            <w:shd w:val="clear" w:color="auto" w:fill="BFBFBF" w:themeFill="background1" w:themeFillShade="BF"/>
          </w:tcPr>
          <w:p w14:paraId="7D79EBB0" w14:textId="77777777" w:rsidR="00514BB3" w:rsidRPr="00514BB3" w:rsidRDefault="00514BB3" w:rsidP="00514BB3">
            <w:pPr>
              <w:pStyle w:val="19anodst"/>
              <w:spacing w:before="40" w:after="40"/>
              <w:jc w:val="center"/>
              <w:rPr>
                <w:rFonts w:ascii="Arial" w:hAnsi="Arial" w:cs="Arial"/>
                <w:b/>
                <w:bCs/>
                <w:i/>
                <w:iCs/>
                <w:color w:val="000000" w:themeColor="text1"/>
                <w:szCs w:val="18"/>
              </w:rPr>
            </w:pPr>
            <w:r w:rsidRPr="00514BB3">
              <w:rPr>
                <w:rFonts w:ascii="Arial" w:hAnsi="Arial" w:cs="Arial"/>
                <w:b/>
                <w:bCs/>
                <w:i/>
                <w:iCs/>
                <w:color w:val="000000" w:themeColor="text1"/>
                <w:szCs w:val="18"/>
              </w:rPr>
              <w:t>Č.</w:t>
            </w:r>
          </w:p>
        </w:tc>
        <w:tc>
          <w:tcPr>
            <w:tcW w:w="1630" w:type="dxa"/>
            <w:shd w:val="clear" w:color="auto" w:fill="BFBFBF" w:themeFill="background1" w:themeFillShade="BF"/>
          </w:tcPr>
          <w:p w14:paraId="4953CD14" w14:textId="77777777" w:rsidR="00514BB3" w:rsidRPr="00514BB3" w:rsidRDefault="00514BB3" w:rsidP="00514BB3">
            <w:pPr>
              <w:pStyle w:val="19anodst"/>
              <w:spacing w:before="40" w:after="40"/>
              <w:jc w:val="center"/>
              <w:rPr>
                <w:rFonts w:ascii="Arial" w:hAnsi="Arial" w:cs="Arial"/>
                <w:b/>
                <w:bCs/>
                <w:i/>
                <w:iCs/>
                <w:color w:val="000000" w:themeColor="text1"/>
                <w:szCs w:val="18"/>
              </w:rPr>
            </w:pPr>
            <w:r w:rsidRPr="00514BB3">
              <w:rPr>
                <w:rFonts w:ascii="Arial" w:hAnsi="Arial" w:cs="Arial"/>
                <w:b/>
                <w:bCs/>
                <w:i/>
                <w:iCs/>
                <w:color w:val="000000" w:themeColor="text1"/>
                <w:szCs w:val="18"/>
              </w:rPr>
              <w:t>Povinnost</w:t>
            </w:r>
          </w:p>
        </w:tc>
        <w:tc>
          <w:tcPr>
            <w:tcW w:w="4182" w:type="dxa"/>
            <w:shd w:val="clear" w:color="auto" w:fill="BFBFBF" w:themeFill="background1" w:themeFillShade="BF"/>
          </w:tcPr>
          <w:p w14:paraId="2EEF41C6" w14:textId="77777777" w:rsidR="00514BB3" w:rsidRPr="00514BB3" w:rsidRDefault="00514BB3" w:rsidP="00514BB3">
            <w:pPr>
              <w:pStyle w:val="19anodst"/>
              <w:spacing w:before="40" w:after="40"/>
              <w:rPr>
                <w:rFonts w:ascii="Arial" w:hAnsi="Arial" w:cs="Arial"/>
                <w:b/>
                <w:bCs/>
                <w:i/>
                <w:iCs/>
                <w:color w:val="000000" w:themeColor="text1"/>
                <w:szCs w:val="18"/>
              </w:rPr>
            </w:pPr>
            <w:r w:rsidRPr="00514BB3">
              <w:rPr>
                <w:rFonts w:ascii="Arial" w:hAnsi="Arial" w:cs="Arial"/>
                <w:b/>
                <w:bCs/>
                <w:i/>
                <w:iCs/>
                <w:color w:val="000000" w:themeColor="text1"/>
                <w:szCs w:val="18"/>
              </w:rPr>
              <w:t>Požadavek</w:t>
            </w:r>
          </w:p>
        </w:tc>
        <w:tc>
          <w:tcPr>
            <w:tcW w:w="1276" w:type="dxa"/>
            <w:shd w:val="clear" w:color="auto" w:fill="BFBFBF" w:themeFill="background1" w:themeFillShade="BF"/>
          </w:tcPr>
          <w:p w14:paraId="2BBB03AD" w14:textId="77777777" w:rsidR="00514BB3" w:rsidRPr="00514BB3" w:rsidRDefault="00514BB3" w:rsidP="00514BB3">
            <w:pPr>
              <w:pStyle w:val="19anodst"/>
              <w:spacing w:before="40" w:after="40"/>
              <w:jc w:val="center"/>
              <w:rPr>
                <w:rFonts w:ascii="Arial" w:hAnsi="Arial" w:cs="Arial"/>
                <w:b/>
                <w:bCs/>
                <w:i/>
                <w:iCs/>
                <w:color w:val="000000" w:themeColor="text1"/>
                <w:szCs w:val="18"/>
              </w:rPr>
            </w:pPr>
            <w:r w:rsidRPr="00514BB3">
              <w:rPr>
                <w:rFonts w:ascii="Arial" w:hAnsi="Arial" w:cs="Arial"/>
                <w:b/>
                <w:bCs/>
                <w:i/>
                <w:iCs/>
                <w:color w:val="000000" w:themeColor="text1"/>
                <w:szCs w:val="18"/>
              </w:rPr>
              <w:t>Naplněn</w:t>
            </w:r>
          </w:p>
        </w:tc>
        <w:tc>
          <w:tcPr>
            <w:tcW w:w="1018" w:type="dxa"/>
            <w:shd w:val="clear" w:color="auto" w:fill="BFBFBF" w:themeFill="background1" w:themeFillShade="BF"/>
            <w:vAlign w:val="center"/>
          </w:tcPr>
          <w:p w14:paraId="4088C6E9" w14:textId="77777777" w:rsidR="00514BB3" w:rsidRPr="00514BB3" w:rsidRDefault="00514BB3" w:rsidP="00514BB3">
            <w:pPr>
              <w:pStyle w:val="19anodst"/>
              <w:spacing w:before="40" w:after="40"/>
              <w:jc w:val="center"/>
              <w:rPr>
                <w:rFonts w:ascii="Arial" w:hAnsi="Arial" w:cs="Arial"/>
                <w:b/>
                <w:bCs/>
                <w:i/>
                <w:iCs/>
                <w:color w:val="000000" w:themeColor="text1"/>
                <w:szCs w:val="18"/>
              </w:rPr>
            </w:pPr>
            <w:r w:rsidRPr="00514BB3">
              <w:rPr>
                <w:rFonts w:ascii="Arial" w:hAnsi="Arial" w:cs="Arial"/>
                <w:b/>
                <w:bCs/>
                <w:i/>
                <w:iCs/>
                <w:color w:val="000000" w:themeColor="text1"/>
                <w:szCs w:val="18"/>
              </w:rPr>
              <w:t>Kapitola nabídky</w:t>
            </w:r>
          </w:p>
        </w:tc>
      </w:tr>
      <w:tr w:rsidR="00514BB3" w:rsidRPr="00514BB3" w14:paraId="13795A10" w14:textId="77777777" w:rsidTr="00897BF6">
        <w:tc>
          <w:tcPr>
            <w:tcW w:w="709" w:type="dxa"/>
            <w:shd w:val="clear" w:color="auto" w:fill="auto"/>
            <w:vAlign w:val="center"/>
          </w:tcPr>
          <w:p w14:paraId="2459D63C" w14:textId="5B1BAACE" w:rsidR="00514BB3" w:rsidRPr="00514BB3" w:rsidRDefault="007948B2" w:rsidP="00514BB3">
            <w:pPr>
              <w:pStyle w:val="19anodst"/>
              <w:spacing w:before="40" w:after="40"/>
              <w:jc w:val="center"/>
              <w:rPr>
                <w:rFonts w:ascii="Arial" w:hAnsi="Arial" w:cs="Arial"/>
                <w:bCs/>
                <w:color w:val="000000" w:themeColor="text1"/>
                <w:szCs w:val="18"/>
              </w:rPr>
            </w:pPr>
            <w:r>
              <w:rPr>
                <w:rFonts w:ascii="Arial" w:hAnsi="Arial" w:cs="Arial"/>
                <w:bCs/>
                <w:color w:val="000000" w:themeColor="text1"/>
                <w:szCs w:val="18"/>
              </w:rPr>
              <w:t>1</w:t>
            </w:r>
          </w:p>
        </w:tc>
        <w:tc>
          <w:tcPr>
            <w:tcW w:w="1630" w:type="dxa"/>
            <w:shd w:val="clear" w:color="auto" w:fill="auto"/>
          </w:tcPr>
          <w:p w14:paraId="257C8408" w14:textId="77777777"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color w:val="000000" w:themeColor="text1"/>
                <w:szCs w:val="18"/>
              </w:rPr>
              <w:t>Požadované</w:t>
            </w:r>
          </w:p>
        </w:tc>
        <w:tc>
          <w:tcPr>
            <w:tcW w:w="4182" w:type="dxa"/>
            <w:shd w:val="clear" w:color="auto" w:fill="auto"/>
          </w:tcPr>
          <w:p w14:paraId="34E1DE47" w14:textId="63EF5999" w:rsidR="00514BB3" w:rsidRPr="00514BB3" w:rsidRDefault="007948B2" w:rsidP="00514BB3">
            <w:pPr>
              <w:pStyle w:val="19anodst"/>
              <w:spacing w:before="40" w:after="40"/>
              <w:jc w:val="left"/>
              <w:rPr>
                <w:rFonts w:ascii="Arial" w:hAnsi="Arial" w:cs="Arial"/>
                <w:bCs/>
                <w:color w:val="000000" w:themeColor="text1"/>
                <w:szCs w:val="18"/>
              </w:rPr>
            </w:pPr>
            <w:r>
              <w:rPr>
                <w:rFonts w:ascii="Arial" w:hAnsi="Arial" w:cs="Arial"/>
                <w:bCs/>
                <w:color w:val="000000" w:themeColor="text1"/>
                <w:szCs w:val="18"/>
              </w:rPr>
              <w:t>Všechny dodávané aplikace budou řešeny formou webové aplikace.</w:t>
            </w:r>
          </w:p>
        </w:tc>
        <w:tc>
          <w:tcPr>
            <w:tcW w:w="1276" w:type="dxa"/>
            <w:shd w:val="clear" w:color="auto" w:fill="auto"/>
            <w:vAlign w:val="center"/>
          </w:tcPr>
          <w:p w14:paraId="58192C8C" w14:textId="2744B135"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i/>
                <w:iCs/>
                <w:color w:val="000000" w:themeColor="text1"/>
                <w:szCs w:val="18"/>
                <w:highlight w:val="yellow"/>
              </w:rPr>
              <w:t>doplní účastník</w:t>
            </w:r>
          </w:p>
        </w:tc>
        <w:tc>
          <w:tcPr>
            <w:tcW w:w="1018" w:type="dxa"/>
            <w:shd w:val="clear" w:color="auto" w:fill="auto"/>
            <w:vAlign w:val="center"/>
          </w:tcPr>
          <w:p w14:paraId="58CEE022" w14:textId="114EFC5F"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i/>
                <w:iCs/>
                <w:color w:val="000000" w:themeColor="text1"/>
                <w:szCs w:val="18"/>
                <w:highlight w:val="yellow"/>
              </w:rPr>
              <w:t>doplní účastník</w:t>
            </w:r>
          </w:p>
        </w:tc>
      </w:tr>
    </w:tbl>
    <w:p w14:paraId="492EE1DA" w14:textId="77777777" w:rsidR="009F0177" w:rsidRDefault="009F0177" w:rsidP="009F0177"/>
    <w:p w14:paraId="1F9099C4" w14:textId="1C06BA89" w:rsidR="00514BB3" w:rsidRPr="00087E3F" w:rsidRDefault="00514BB3" w:rsidP="00514BB3">
      <w:pPr>
        <w:pStyle w:val="Nadpis2"/>
      </w:pPr>
      <w:r w:rsidRPr="00087E3F">
        <w:t>Požadavky na bezpečnost informací</w:t>
      </w:r>
    </w:p>
    <w:tbl>
      <w:tblPr>
        <w:tblW w:w="8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630"/>
        <w:gridCol w:w="4182"/>
        <w:gridCol w:w="1276"/>
        <w:gridCol w:w="1018"/>
      </w:tblGrid>
      <w:tr w:rsidR="00514BB3" w:rsidRPr="00514BB3" w14:paraId="4E81A4A1" w14:textId="77777777" w:rsidTr="00514BB3">
        <w:tc>
          <w:tcPr>
            <w:tcW w:w="709" w:type="dxa"/>
            <w:shd w:val="clear" w:color="auto" w:fill="BFBFBF" w:themeFill="background1" w:themeFillShade="BF"/>
          </w:tcPr>
          <w:p w14:paraId="0967AA74" w14:textId="77777777" w:rsidR="00514BB3" w:rsidRPr="00514BB3" w:rsidRDefault="00514BB3" w:rsidP="00514BB3">
            <w:pPr>
              <w:pStyle w:val="19anodst"/>
              <w:spacing w:before="40" w:after="40"/>
              <w:jc w:val="center"/>
              <w:rPr>
                <w:rFonts w:ascii="Arial" w:hAnsi="Arial" w:cs="Arial"/>
                <w:b/>
                <w:bCs/>
                <w:i/>
                <w:iCs/>
                <w:color w:val="000000" w:themeColor="text1"/>
                <w:szCs w:val="18"/>
              </w:rPr>
            </w:pPr>
            <w:r w:rsidRPr="00514BB3">
              <w:rPr>
                <w:rFonts w:ascii="Arial" w:hAnsi="Arial" w:cs="Arial"/>
                <w:b/>
                <w:bCs/>
                <w:i/>
                <w:iCs/>
                <w:color w:val="000000" w:themeColor="text1"/>
                <w:szCs w:val="18"/>
              </w:rPr>
              <w:t>Č.</w:t>
            </w:r>
          </w:p>
        </w:tc>
        <w:tc>
          <w:tcPr>
            <w:tcW w:w="1630" w:type="dxa"/>
            <w:shd w:val="clear" w:color="auto" w:fill="BFBFBF" w:themeFill="background1" w:themeFillShade="BF"/>
          </w:tcPr>
          <w:p w14:paraId="6902EB18" w14:textId="77777777" w:rsidR="00514BB3" w:rsidRPr="00514BB3" w:rsidRDefault="00514BB3" w:rsidP="00514BB3">
            <w:pPr>
              <w:pStyle w:val="19anodst"/>
              <w:spacing w:before="40" w:after="40"/>
              <w:jc w:val="center"/>
              <w:rPr>
                <w:rFonts w:ascii="Arial" w:hAnsi="Arial" w:cs="Arial"/>
                <w:b/>
                <w:bCs/>
                <w:i/>
                <w:iCs/>
                <w:color w:val="000000" w:themeColor="text1"/>
                <w:szCs w:val="18"/>
              </w:rPr>
            </w:pPr>
            <w:r w:rsidRPr="00514BB3">
              <w:rPr>
                <w:rFonts w:ascii="Arial" w:hAnsi="Arial" w:cs="Arial"/>
                <w:b/>
                <w:bCs/>
                <w:i/>
                <w:iCs/>
                <w:color w:val="000000" w:themeColor="text1"/>
                <w:szCs w:val="18"/>
              </w:rPr>
              <w:t>Povinnost</w:t>
            </w:r>
          </w:p>
        </w:tc>
        <w:tc>
          <w:tcPr>
            <w:tcW w:w="4182" w:type="dxa"/>
            <w:shd w:val="clear" w:color="auto" w:fill="BFBFBF" w:themeFill="background1" w:themeFillShade="BF"/>
          </w:tcPr>
          <w:p w14:paraId="3001F872" w14:textId="77777777" w:rsidR="00514BB3" w:rsidRPr="00514BB3" w:rsidRDefault="00514BB3" w:rsidP="00514BB3">
            <w:pPr>
              <w:pStyle w:val="19anodst"/>
              <w:spacing w:before="40" w:after="40"/>
              <w:rPr>
                <w:rFonts w:ascii="Arial" w:hAnsi="Arial" w:cs="Arial"/>
                <w:b/>
                <w:bCs/>
                <w:i/>
                <w:iCs/>
                <w:color w:val="000000" w:themeColor="text1"/>
                <w:szCs w:val="18"/>
              </w:rPr>
            </w:pPr>
            <w:r w:rsidRPr="00514BB3">
              <w:rPr>
                <w:rFonts w:ascii="Arial" w:hAnsi="Arial" w:cs="Arial"/>
                <w:b/>
                <w:bCs/>
                <w:i/>
                <w:iCs/>
                <w:color w:val="000000" w:themeColor="text1"/>
                <w:szCs w:val="18"/>
              </w:rPr>
              <w:t>Požadavek</w:t>
            </w:r>
          </w:p>
        </w:tc>
        <w:tc>
          <w:tcPr>
            <w:tcW w:w="1276" w:type="dxa"/>
            <w:shd w:val="clear" w:color="auto" w:fill="BFBFBF" w:themeFill="background1" w:themeFillShade="BF"/>
          </w:tcPr>
          <w:p w14:paraId="56A50980" w14:textId="77777777" w:rsidR="00514BB3" w:rsidRPr="00514BB3" w:rsidRDefault="00514BB3" w:rsidP="00514BB3">
            <w:pPr>
              <w:pStyle w:val="19anodst"/>
              <w:spacing w:before="40" w:after="40"/>
              <w:jc w:val="center"/>
              <w:rPr>
                <w:rFonts w:ascii="Arial" w:hAnsi="Arial" w:cs="Arial"/>
                <w:b/>
                <w:bCs/>
                <w:i/>
                <w:iCs/>
                <w:color w:val="000000" w:themeColor="text1"/>
                <w:szCs w:val="18"/>
              </w:rPr>
            </w:pPr>
            <w:r w:rsidRPr="00514BB3">
              <w:rPr>
                <w:rFonts w:ascii="Arial" w:hAnsi="Arial" w:cs="Arial"/>
                <w:b/>
                <w:bCs/>
                <w:i/>
                <w:iCs/>
                <w:color w:val="000000" w:themeColor="text1"/>
                <w:szCs w:val="18"/>
              </w:rPr>
              <w:t>Naplněn</w:t>
            </w:r>
          </w:p>
        </w:tc>
        <w:tc>
          <w:tcPr>
            <w:tcW w:w="1018" w:type="dxa"/>
            <w:shd w:val="clear" w:color="auto" w:fill="BFBFBF" w:themeFill="background1" w:themeFillShade="BF"/>
            <w:vAlign w:val="center"/>
          </w:tcPr>
          <w:p w14:paraId="146A5669" w14:textId="77777777" w:rsidR="00514BB3" w:rsidRPr="00514BB3" w:rsidRDefault="00514BB3" w:rsidP="00514BB3">
            <w:pPr>
              <w:pStyle w:val="19anodst"/>
              <w:spacing w:before="40" w:after="40"/>
              <w:jc w:val="center"/>
              <w:rPr>
                <w:rFonts w:ascii="Arial" w:hAnsi="Arial" w:cs="Arial"/>
                <w:b/>
                <w:bCs/>
                <w:i/>
                <w:iCs/>
                <w:color w:val="000000" w:themeColor="text1"/>
                <w:szCs w:val="18"/>
              </w:rPr>
            </w:pPr>
            <w:r w:rsidRPr="00514BB3">
              <w:rPr>
                <w:rFonts w:ascii="Arial" w:hAnsi="Arial" w:cs="Arial"/>
                <w:b/>
                <w:bCs/>
                <w:i/>
                <w:iCs/>
                <w:color w:val="000000" w:themeColor="text1"/>
                <w:szCs w:val="18"/>
              </w:rPr>
              <w:t>Kapitola nabídky</w:t>
            </w:r>
          </w:p>
        </w:tc>
      </w:tr>
      <w:tr w:rsidR="00514BB3" w:rsidRPr="00514BB3" w14:paraId="696F1A3C" w14:textId="77777777" w:rsidTr="00897BF6">
        <w:tc>
          <w:tcPr>
            <w:tcW w:w="709" w:type="dxa"/>
            <w:shd w:val="clear" w:color="auto" w:fill="auto"/>
            <w:vAlign w:val="center"/>
          </w:tcPr>
          <w:p w14:paraId="5E958DF3" w14:textId="77777777"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color w:val="000000" w:themeColor="text1"/>
                <w:szCs w:val="18"/>
              </w:rPr>
              <w:t>1</w:t>
            </w:r>
          </w:p>
        </w:tc>
        <w:tc>
          <w:tcPr>
            <w:tcW w:w="1630" w:type="dxa"/>
            <w:shd w:val="clear" w:color="auto" w:fill="auto"/>
            <w:vAlign w:val="center"/>
          </w:tcPr>
          <w:p w14:paraId="2A739ED6" w14:textId="77777777"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color w:val="000000" w:themeColor="text1"/>
                <w:szCs w:val="18"/>
              </w:rPr>
              <w:t>Požadované</w:t>
            </w:r>
          </w:p>
        </w:tc>
        <w:tc>
          <w:tcPr>
            <w:tcW w:w="4182" w:type="dxa"/>
            <w:shd w:val="clear" w:color="auto" w:fill="auto"/>
          </w:tcPr>
          <w:p w14:paraId="30A13F60" w14:textId="77777777" w:rsidR="00514BB3" w:rsidRPr="00514BB3" w:rsidRDefault="00514BB3" w:rsidP="00514BB3">
            <w:pPr>
              <w:pStyle w:val="19anodst"/>
              <w:spacing w:before="40" w:after="40"/>
              <w:jc w:val="left"/>
              <w:rPr>
                <w:rFonts w:ascii="Arial" w:hAnsi="Arial" w:cs="Arial"/>
                <w:bCs/>
                <w:color w:val="000000" w:themeColor="text1"/>
                <w:szCs w:val="18"/>
              </w:rPr>
            </w:pPr>
            <w:r w:rsidRPr="00514BB3">
              <w:rPr>
                <w:rFonts w:ascii="Arial" w:hAnsi="Arial" w:cs="Arial"/>
                <w:szCs w:val="18"/>
              </w:rPr>
              <w:t>Přihlašování k aplikacím prostřednictvím SSO (Single Sign-On) – jednou přihlášeného uživatele už není potřeba znovu ověřovat.</w:t>
            </w:r>
          </w:p>
        </w:tc>
        <w:tc>
          <w:tcPr>
            <w:tcW w:w="1276" w:type="dxa"/>
            <w:shd w:val="clear" w:color="auto" w:fill="auto"/>
            <w:vAlign w:val="center"/>
          </w:tcPr>
          <w:p w14:paraId="3509123A" w14:textId="1E6222A5"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i/>
                <w:iCs/>
                <w:color w:val="000000" w:themeColor="text1"/>
                <w:szCs w:val="18"/>
                <w:highlight w:val="yellow"/>
              </w:rPr>
              <w:t>doplní účastník</w:t>
            </w:r>
          </w:p>
        </w:tc>
        <w:tc>
          <w:tcPr>
            <w:tcW w:w="1018" w:type="dxa"/>
            <w:shd w:val="clear" w:color="auto" w:fill="auto"/>
            <w:vAlign w:val="center"/>
          </w:tcPr>
          <w:p w14:paraId="380D186F" w14:textId="35D7CDDD"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i/>
                <w:iCs/>
                <w:color w:val="000000" w:themeColor="text1"/>
                <w:szCs w:val="18"/>
                <w:highlight w:val="yellow"/>
              </w:rPr>
              <w:t>doplní účastník</w:t>
            </w:r>
          </w:p>
        </w:tc>
      </w:tr>
      <w:tr w:rsidR="00514BB3" w:rsidRPr="00514BB3" w14:paraId="09D78AE9" w14:textId="77777777" w:rsidTr="00897BF6">
        <w:tc>
          <w:tcPr>
            <w:tcW w:w="709" w:type="dxa"/>
            <w:shd w:val="clear" w:color="auto" w:fill="auto"/>
            <w:vAlign w:val="center"/>
          </w:tcPr>
          <w:p w14:paraId="664E6DAD" w14:textId="77777777"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color w:val="000000" w:themeColor="text1"/>
                <w:szCs w:val="18"/>
              </w:rPr>
              <w:t>2</w:t>
            </w:r>
          </w:p>
        </w:tc>
        <w:tc>
          <w:tcPr>
            <w:tcW w:w="1630" w:type="dxa"/>
            <w:shd w:val="clear" w:color="auto" w:fill="auto"/>
            <w:vAlign w:val="center"/>
          </w:tcPr>
          <w:p w14:paraId="69D265AE" w14:textId="77777777"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color w:val="000000" w:themeColor="text1"/>
                <w:szCs w:val="18"/>
              </w:rPr>
              <w:t>Požadované</w:t>
            </w:r>
          </w:p>
        </w:tc>
        <w:tc>
          <w:tcPr>
            <w:tcW w:w="4182" w:type="dxa"/>
            <w:shd w:val="clear" w:color="auto" w:fill="auto"/>
          </w:tcPr>
          <w:p w14:paraId="4793AA43" w14:textId="77777777" w:rsidR="00514BB3" w:rsidRPr="00514BB3" w:rsidRDefault="00514BB3" w:rsidP="00514BB3">
            <w:pPr>
              <w:pStyle w:val="19anodst"/>
              <w:spacing w:before="40" w:after="40"/>
              <w:jc w:val="left"/>
              <w:rPr>
                <w:rFonts w:ascii="Arial" w:hAnsi="Arial" w:cs="Arial"/>
                <w:bCs/>
                <w:color w:val="000000" w:themeColor="text1"/>
                <w:szCs w:val="18"/>
              </w:rPr>
            </w:pPr>
            <w:r w:rsidRPr="00514BB3">
              <w:rPr>
                <w:rFonts w:ascii="Arial" w:hAnsi="Arial" w:cs="Arial"/>
                <w:szCs w:val="18"/>
              </w:rPr>
              <w:t xml:space="preserve">Ověřování uživatele – autentizace – prostřednictvím </w:t>
            </w:r>
            <w:proofErr w:type="spellStart"/>
            <w:r w:rsidRPr="00514BB3">
              <w:rPr>
                <w:rFonts w:ascii="Arial" w:hAnsi="Arial" w:cs="Arial"/>
                <w:szCs w:val="18"/>
              </w:rPr>
              <w:t>Active</w:t>
            </w:r>
            <w:proofErr w:type="spellEnd"/>
            <w:r w:rsidRPr="00514BB3">
              <w:rPr>
                <w:rFonts w:ascii="Arial" w:hAnsi="Arial" w:cs="Arial"/>
                <w:szCs w:val="18"/>
              </w:rPr>
              <w:t xml:space="preserve"> </w:t>
            </w:r>
            <w:proofErr w:type="spellStart"/>
            <w:r w:rsidRPr="00514BB3">
              <w:rPr>
                <w:rFonts w:ascii="Arial" w:hAnsi="Arial" w:cs="Arial"/>
                <w:szCs w:val="18"/>
              </w:rPr>
              <w:t>Directory</w:t>
            </w:r>
            <w:proofErr w:type="spellEnd"/>
            <w:r w:rsidRPr="00514BB3">
              <w:rPr>
                <w:rFonts w:ascii="Arial" w:hAnsi="Arial" w:cs="Arial"/>
                <w:szCs w:val="18"/>
              </w:rPr>
              <w:t>.</w:t>
            </w:r>
          </w:p>
        </w:tc>
        <w:tc>
          <w:tcPr>
            <w:tcW w:w="1276" w:type="dxa"/>
            <w:shd w:val="clear" w:color="auto" w:fill="auto"/>
            <w:vAlign w:val="center"/>
          </w:tcPr>
          <w:p w14:paraId="06F7B551" w14:textId="33015A6C"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i/>
                <w:iCs/>
                <w:color w:val="000000" w:themeColor="text1"/>
                <w:szCs w:val="18"/>
                <w:highlight w:val="yellow"/>
              </w:rPr>
              <w:t>doplní účastník</w:t>
            </w:r>
          </w:p>
        </w:tc>
        <w:tc>
          <w:tcPr>
            <w:tcW w:w="1018" w:type="dxa"/>
            <w:shd w:val="clear" w:color="auto" w:fill="auto"/>
            <w:vAlign w:val="center"/>
          </w:tcPr>
          <w:p w14:paraId="67F3AA42" w14:textId="55F6B17B"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i/>
                <w:iCs/>
                <w:color w:val="000000" w:themeColor="text1"/>
                <w:szCs w:val="18"/>
                <w:highlight w:val="yellow"/>
              </w:rPr>
              <w:t>doplní účastník</w:t>
            </w:r>
          </w:p>
        </w:tc>
      </w:tr>
      <w:tr w:rsidR="00514BB3" w:rsidRPr="00514BB3" w14:paraId="554F4A63" w14:textId="77777777" w:rsidTr="00897BF6">
        <w:tc>
          <w:tcPr>
            <w:tcW w:w="709" w:type="dxa"/>
            <w:shd w:val="clear" w:color="auto" w:fill="auto"/>
            <w:vAlign w:val="center"/>
          </w:tcPr>
          <w:p w14:paraId="2CF8B375" w14:textId="77777777"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color w:val="000000" w:themeColor="text1"/>
                <w:szCs w:val="18"/>
              </w:rPr>
              <w:t>3</w:t>
            </w:r>
          </w:p>
        </w:tc>
        <w:tc>
          <w:tcPr>
            <w:tcW w:w="1630" w:type="dxa"/>
            <w:shd w:val="clear" w:color="auto" w:fill="auto"/>
            <w:vAlign w:val="center"/>
          </w:tcPr>
          <w:p w14:paraId="5C096CCA" w14:textId="77777777"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color w:val="000000" w:themeColor="text1"/>
                <w:szCs w:val="18"/>
              </w:rPr>
              <w:t>Požadované</w:t>
            </w:r>
          </w:p>
        </w:tc>
        <w:tc>
          <w:tcPr>
            <w:tcW w:w="4182" w:type="dxa"/>
            <w:shd w:val="clear" w:color="auto" w:fill="auto"/>
          </w:tcPr>
          <w:p w14:paraId="709F60B0" w14:textId="77777777" w:rsidR="00514BB3" w:rsidRPr="00514BB3" w:rsidRDefault="00514BB3" w:rsidP="00514BB3">
            <w:pPr>
              <w:pStyle w:val="19anodst"/>
              <w:spacing w:before="40" w:after="40"/>
              <w:jc w:val="left"/>
              <w:rPr>
                <w:rFonts w:ascii="Arial" w:hAnsi="Arial" w:cs="Arial"/>
                <w:szCs w:val="18"/>
              </w:rPr>
            </w:pPr>
            <w:r w:rsidRPr="00514BB3">
              <w:rPr>
                <w:rFonts w:ascii="Arial" w:hAnsi="Arial" w:cs="Arial"/>
                <w:szCs w:val="18"/>
              </w:rPr>
              <w:t xml:space="preserve">Bezpečnost uložených dat v souladu s nařízením Evropské unie GDPR (General Data Protection </w:t>
            </w:r>
            <w:proofErr w:type="spellStart"/>
            <w:r w:rsidRPr="00514BB3">
              <w:rPr>
                <w:rFonts w:ascii="Arial" w:hAnsi="Arial" w:cs="Arial"/>
                <w:szCs w:val="18"/>
              </w:rPr>
              <w:t>Regulation</w:t>
            </w:r>
            <w:proofErr w:type="spellEnd"/>
            <w:r w:rsidRPr="00514BB3">
              <w:rPr>
                <w:rFonts w:ascii="Arial" w:hAnsi="Arial" w:cs="Arial"/>
                <w:szCs w:val="18"/>
              </w:rPr>
              <w:t>).</w:t>
            </w:r>
          </w:p>
        </w:tc>
        <w:tc>
          <w:tcPr>
            <w:tcW w:w="1276" w:type="dxa"/>
            <w:shd w:val="clear" w:color="auto" w:fill="auto"/>
            <w:vAlign w:val="center"/>
          </w:tcPr>
          <w:p w14:paraId="2D4D41F1" w14:textId="7403AA20"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i/>
                <w:iCs/>
                <w:color w:val="000000" w:themeColor="text1"/>
                <w:szCs w:val="18"/>
                <w:highlight w:val="yellow"/>
              </w:rPr>
              <w:t>doplní účastník</w:t>
            </w:r>
          </w:p>
        </w:tc>
        <w:tc>
          <w:tcPr>
            <w:tcW w:w="1018" w:type="dxa"/>
            <w:shd w:val="clear" w:color="auto" w:fill="auto"/>
            <w:vAlign w:val="center"/>
          </w:tcPr>
          <w:p w14:paraId="07E773BA" w14:textId="4BA283C9"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i/>
                <w:iCs/>
                <w:color w:val="000000" w:themeColor="text1"/>
                <w:szCs w:val="18"/>
                <w:highlight w:val="yellow"/>
              </w:rPr>
              <w:t>doplní účastník</w:t>
            </w:r>
          </w:p>
        </w:tc>
      </w:tr>
      <w:tr w:rsidR="00514BB3" w:rsidRPr="00514BB3" w14:paraId="5607B323" w14:textId="77777777" w:rsidTr="00897BF6">
        <w:tc>
          <w:tcPr>
            <w:tcW w:w="709" w:type="dxa"/>
            <w:shd w:val="clear" w:color="auto" w:fill="auto"/>
            <w:vAlign w:val="center"/>
          </w:tcPr>
          <w:p w14:paraId="5DE58B0F" w14:textId="77777777"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color w:val="000000" w:themeColor="text1"/>
                <w:szCs w:val="18"/>
              </w:rPr>
              <w:t>4</w:t>
            </w:r>
          </w:p>
        </w:tc>
        <w:tc>
          <w:tcPr>
            <w:tcW w:w="1630" w:type="dxa"/>
            <w:shd w:val="clear" w:color="auto" w:fill="auto"/>
            <w:vAlign w:val="center"/>
          </w:tcPr>
          <w:p w14:paraId="4A14A926" w14:textId="77777777"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color w:val="000000" w:themeColor="text1"/>
                <w:szCs w:val="18"/>
              </w:rPr>
              <w:t>Požadované</w:t>
            </w:r>
          </w:p>
        </w:tc>
        <w:tc>
          <w:tcPr>
            <w:tcW w:w="4182" w:type="dxa"/>
            <w:shd w:val="clear" w:color="auto" w:fill="auto"/>
          </w:tcPr>
          <w:p w14:paraId="15A9E376" w14:textId="77777777" w:rsidR="00514BB3" w:rsidRPr="00514BB3" w:rsidRDefault="00514BB3" w:rsidP="00514BB3">
            <w:pPr>
              <w:pStyle w:val="19anodst"/>
              <w:spacing w:before="40" w:after="40"/>
              <w:jc w:val="left"/>
              <w:rPr>
                <w:rFonts w:ascii="Arial" w:hAnsi="Arial" w:cs="Arial"/>
                <w:szCs w:val="18"/>
              </w:rPr>
            </w:pPr>
            <w:r w:rsidRPr="00514BB3">
              <w:rPr>
                <w:rFonts w:ascii="Arial" w:hAnsi="Arial" w:cs="Arial"/>
                <w:szCs w:val="18"/>
              </w:rPr>
              <w:t xml:space="preserve">Možnost nastavení odděleného úložiště el. dokumentů a el. příloh od databáze. </w:t>
            </w:r>
          </w:p>
        </w:tc>
        <w:tc>
          <w:tcPr>
            <w:tcW w:w="1276" w:type="dxa"/>
            <w:shd w:val="clear" w:color="auto" w:fill="auto"/>
            <w:vAlign w:val="center"/>
          </w:tcPr>
          <w:p w14:paraId="3187D260" w14:textId="34A6A118"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i/>
                <w:iCs/>
                <w:color w:val="000000" w:themeColor="text1"/>
                <w:szCs w:val="18"/>
                <w:highlight w:val="yellow"/>
              </w:rPr>
              <w:t>doplní účastník</w:t>
            </w:r>
          </w:p>
        </w:tc>
        <w:tc>
          <w:tcPr>
            <w:tcW w:w="1018" w:type="dxa"/>
            <w:shd w:val="clear" w:color="auto" w:fill="auto"/>
            <w:vAlign w:val="center"/>
          </w:tcPr>
          <w:p w14:paraId="429E82AB" w14:textId="777EDED9" w:rsidR="00514BB3" w:rsidRPr="00514BB3" w:rsidRDefault="00514BB3" w:rsidP="00514BB3">
            <w:pPr>
              <w:pStyle w:val="19anodst"/>
              <w:spacing w:before="40" w:after="40"/>
              <w:jc w:val="center"/>
              <w:rPr>
                <w:rFonts w:ascii="Arial" w:hAnsi="Arial" w:cs="Arial"/>
                <w:bCs/>
                <w:color w:val="000000" w:themeColor="text1"/>
                <w:szCs w:val="18"/>
              </w:rPr>
            </w:pPr>
            <w:r w:rsidRPr="00514BB3">
              <w:rPr>
                <w:rFonts w:ascii="Arial" w:hAnsi="Arial" w:cs="Arial"/>
                <w:bCs/>
                <w:i/>
                <w:iCs/>
                <w:color w:val="000000" w:themeColor="text1"/>
                <w:szCs w:val="18"/>
                <w:highlight w:val="yellow"/>
              </w:rPr>
              <w:t>doplní účastník</w:t>
            </w:r>
          </w:p>
        </w:tc>
      </w:tr>
    </w:tbl>
    <w:p w14:paraId="00E9511E" w14:textId="77777777" w:rsidR="00514BB3" w:rsidRDefault="00514BB3" w:rsidP="00514BB3">
      <w:pPr>
        <w:pStyle w:val="Normln-Odstavec"/>
        <w:tabs>
          <w:tab w:val="clear" w:pos="567"/>
        </w:tabs>
        <w:rPr>
          <w:highlight w:val="yellow"/>
        </w:rPr>
      </w:pPr>
    </w:p>
    <w:p w14:paraId="74930EBF" w14:textId="77777777" w:rsidR="00777DBE" w:rsidRDefault="00777DBE" w:rsidP="00514BB3">
      <w:pPr>
        <w:pStyle w:val="Normln-Odstavec"/>
        <w:tabs>
          <w:tab w:val="clear" w:pos="567"/>
        </w:tabs>
        <w:rPr>
          <w:highlight w:val="yellow"/>
        </w:rPr>
      </w:pPr>
    </w:p>
    <w:p w14:paraId="192D2740" w14:textId="522AF7F8" w:rsidR="00F21409" w:rsidRPr="009F0177" w:rsidRDefault="009F0177" w:rsidP="00F21409">
      <w:pPr>
        <w:pStyle w:val="Nadpis1"/>
      </w:pPr>
      <w:r w:rsidRPr="009F0177">
        <w:t>IMPLEMENTAČNÍ SLUŽBY</w:t>
      </w:r>
    </w:p>
    <w:p w14:paraId="74478502" w14:textId="77777777" w:rsidR="00F21409" w:rsidRDefault="00F21409" w:rsidP="00F21409">
      <w:pPr>
        <w:pStyle w:val="Nadpis2"/>
      </w:pPr>
      <w:r w:rsidRPr="00833402">
        <w:t>Obecné požadavky</w:t>
      </w:r>
    </w:p>
    <w:p w14:paraId="3484FEAF" w14:textId="49210904" w:rsidR="00FA614B" w:rsidRPr="00FA614B" w:rsidRDefault="00FA614B" w:rsidP="00FA614B">
      <w:pPr>
        <w:rPr>
          <w:b/>
          <w:bCs/>
        </w:rPr>
      </w:pPr>
      <w:r w:rsidRPr="00FA614B">
        <w:rPr>
          <w:b/>
          <w:bCs/>
        </w:rPr>
        <w:t xml:space="preserve">Zadavatel požaduje provést minimálně následující implementační práce na dodaných komponentech a případně dalších zařízeních. </w:t>
      </w:r>
      <w:r>
        <w:rPr>
          <w:b/>
          <w:bCs/>
        </w:rPr>
        <w:t xml:space="preserve">Dodavatel </w:t>
      </w:r>
      <w:r w:rsidRPr="00FA614B">
        <w:rPr>
          <w:b/>
          <w:bCs/>
        </w:rPr>
        <w:t>je dále povinen zahrnout do nabídky veškeré další činnosti a prostředky, které jsou nezbytné pro provedení díla v rozsahu doporučeném výrobci a dle tzv. nejlepších praktik, i v případě, pokud nejsou explicitně uvedeny, ale jsou pro realizaci předmětu plnění podstatné. Implementační služby budou minimálně v následujícím rozsahu:</w:t>
      </w:r>
    </w:p>
    <w:p w14:paraId="44144CC8" w14:textId="77777777" w:rsidR="00FA614B" w:rsidRDefault="00FA614B" w:rsidP="000E7C16">
      <w:pPr>
        <w:pStyle w:val="Odstavecseseznamem"/>
        <w:numPr>
          <w:ilvl w:val="0"/>
          <w:numId w:val="19"/>
        </w:numPr>
        <w:ind w:left="357" w:hanging="357"/>
        <w:contextualSpacing w:val="0"/>
      </w:pPr>
      <w:r w:rsidRPr="000D7F0D">
        <w:t>Zajištění projektového vedení realizace předmětu plnění.</w:t>
      </w:r>
    </w:p>
    <w:p w14:paraId="70179CC0" w14:textId="77777777" w:rsidR="00FA614B" w:rsidRDefault="00FA614B" w:rsidP="000E7C16">
      <w:pPr>
        <w:pStyle w:val="Odstavecseseznamem"/>
        <w:numPr>
          <w:ilvl w:val="0"/>
          <w:numId w:val="19"/>
        </w:numPr>
        <w:ind w:left="357" w:hanging="357"/>
        <w:contextualSpacing w:val="0"/>
      </w:pPr>
      <w:r w:rsidRPr="00314B5F">
        <w:t xml:space="preserve">Zpracování prováděcí dokumentace, která představuje projektovou dokumentaci, podle které se projekt bude realizovat. Součástí zpracování prováděcí dokumentace je mj. provedení předimplementační analýzy a zpracování finálního návrhu cílového stavu. </w:t>
      </w:r>
    </w:p>
    <w:p w14:paraId="559D26DD" w14:textId="656746E6" w:rsidR="00FA614B" w:rsidRDefault="00FA614B" w:rsidP="000E7C16">
      <w:pPr>
        <w:pStyle w:val="Odstavecseseznamem"/>
        <w:numPr>
          <w:ilvl w:val="0"/>
          <w:numId w:val="19"/>
        </w:numPr>
        <w:ind w:left="357" w:hanging="357"/>
        <w:contextualSpacing w:val="0"/>
      </w:pPr>
      <w:r w:rsidRPr="00314B5F">
        <w:t>Dodávk</w:t>
      </w:r>
      <w:r>
        <w:t>a</w:t>
      </w:r>
      <w:r w:rsidRPr="00314B5F">
        <w:t xml:space="preserve"> nabízených</w:t>
      </w:r>
      <w:r w:rsidRPr="00EA7A8B">
        <w:t xml:space="preserve"> </w:t>
      </w:r>
      <w:r>
        <w:t>prvků a k</w:t>
      </w:r>
      <w:r w:rsidRPr="00EA7A8B">
        <w:t>ompletní implementaci řešení splňující povinné parametry technického řešení</w:t>
      </w:r>
      <w:r>
        <w:t>.</w:t>
      </w:r>
    </w:p>
    <w:p w14:paraId="66AA997D" w14:textId="1A04C11F" w:rsidR="00FA614B" w:rsidRPr="00EA7A8B" w:rsidRDefault="00FA614B" w:rsidP="000E7C16">
      <w:pPr>
        <w:pStyle w:val="Odstavecseseznamem"/>
        <w:numPr>
          <w:ilvl w:val="0"/>
          <w:numId w:val="19"/>
        </w:numPr>
        <w:ind w:left="357" w:hanging="357"/>
        <w:contextualSpacing w:val="0"/>
      </w:pPr>
      <w:r w:rsidRPr="00EA7A8B">
        <w:t>Provedení školení</w:t>
      </w:r>
      <w:r>
        <w:t>.</w:t>
      </w:r>
    </w:p>
    <w:p w14:paraId="39CF3CFB" w14:textId="77777777" w:rsidR="00FA614B" w:rsidRPr="00EA7A8B" w:rsidRDefault="00FA614B" w:rsidP="000E7C16">
      <w:pPr>
        <w:pStyle w:val="Odstavecseseznamem"/>
        <w:numPr>
          <w:ilvl w:val="0"/>
          <w:numId w:val="19"/>
        </w:numPr>
        <w:ind w:left="357" w:hanging="357"/>
        <w:contextualSpacing w:val="0"/>
      </w:pPr>
      <w:r w:rsidRPr="00FA614B">
        <w:t>Zajištění zkušebního provozu,</w:t>
      </w:r>
    </w:p>
    <w:p w14:paraId="5E634A97" w14:textId="77777777" w:rsidR="00FA614B" w:rsidRDefault="00FA614B" w:rsidP="000E7C16">
      <w:pPr>
        <w:pStyle w:val="Odstavecseseznamem"/>
        <w:numPr>
          <w:ilvl w:val="0"/>
          <w:numId w:val="19"/>
        </w:numPr>
        <w:ind w:left="357" w:hanging="357"/>
        <w:contextualSpacing w:val="0"/>
      </w:pPr>
      <w:r w:rsidRPr="00EA7A8B">
        <w:t>Provedení akceptačních testů,</w:t>
      </w:r>
    </w:p>
    <w:p w14:paraId="223161CB" w14:textId="77777777" w:rsidR="00FA614B" w:rsidRPr="000D7F0D" w:rsidRDefault="00FA614B" w:rsidP="000E7C16">
      <w:pPr>
        <w:pStyle w:val="Odstavecseseznamem"/>
        <w:numPr>
          <w:ilvl w:val="0"/>
          <w:numId w:val="19"/>
        </w:numPr>
        <w:ind w:left="357" w:hanging="357"/>
        <w:contextualSpacing w:val="0"/>
      </w:pPr>
      <w:r w:rsidRPr="00FA614B">
        <w:t xml:space="preserve">Zpracování </w:t>
      </w:r>
      <w:r w:rsidRPr="000D7F0D">
        <w:t>provozní dokumentace v rozsahu detailního popisu skutečného provedení a popisu činností běžné údržby a administrace systémů a činností pro spolehlivé zajištění provozu.</w:t>
      </w:r>
    </w:p>
    <w:p w14:paraId="5B81618A" w14:textId="77777777" w:rsidR="00FA614B" w:rsidRPr="00EA7A8B" w:rsidRDefault="00FA614B" w:rsidP="000E7C16">
      <w:pPr>
        <w:pStyle w:val="Odstavecseseznamem"/>
        <w:numPr>
          <w:ilvl w:val="0"/>
          <w:numId w:val="19"/>
        </w:numPr>
        <w:ind w:left="357" w:hanging="357"/>
        <w:contextualSpacing w:val="0"/>
      </w:pPr>
      <w:r w:rsidRPr="00EA7A8B">
        <w:t>Předání do ostrého provozu,</w:t>
      </w:r>
    </w:p>
    <w:p w14:paraId="0D87DF33" w14:textId="77777777" w:rsidR="00FA614B" w:rsidRPr="00AE7E72" w:rsidRDefault="00FA614B" w:rsidP="00FA614B">
      <w:r w:rsidRPr="00AE7E72">
        <w:t>Náklady na provedení implementačních služeb musí být zahrnuty v nabídkové ceně k položce, ke které se vztahují a nelze je vyčíslit zvlášť.</w:t>
      </w:r>
    </w:p>
    <w:p w14:paraId="308A68DE" w14:textId="5BFC956B" w:rsidR="00FA614B" w:rsidRPr="00AE7E72" w:rsidRDefault="00FA614B" w:rsidP="00FA614B">
      <w:r>
        <w:lastRenderedPageBreak/>
        <w:t xml:space="preserve">Účastník </w:t>
      </w:r>
      <w:r w:rsidRPr="00AE7E72">
        <w:t xml:space="preserve">dle svého uvážení může doplnit v nabídce další služby, které jsou dle jeho názoru potřebné pro úspěšnou realizaci zakázky. </w:t>
      </w:r>
    </w:p>
    <w:p w14:paraId="48E5CF1C" w14:textId="40CCB668" w:rsidR="00FA614B" w:rsidRDefault="00FA614B" w:rsidP="00FA614B">
      <w:r w:rsidRPr="00AE7E72">
        <w:t>Veškerá dokumentace musí být zhotovena výhradně v českém jazyce, bude dodána</w:t>
      </w:r>
      <w:r>
        <w:t xml:space="preserve"> </w:t>
      </w:r>
      <w:r w:rsidRPr="00AE7E72">
        <w:t>v elektronické formě ve standartních formátech (např. MS Office</w:t>
      </w:r>
      <w:r w:rsidR="002462EA">
        <w:t>, PDF</w:t>
      </w:r>
      <w:r w:rsidRPr="00AE7E72">
        <w:t>) používaných zadavatelem</w:t>
      </w:r>
      <w:r>
        <w:t>.</w:t>
      </w:r>
    </w:p>
    <w:p w14:paraId="472B0228" w14:textId="77777777" w:rsidR="009F0177" w:rsidRPr="00AE7E72" w:rsidRDefault="009F0177" w:rsidP="00FA614B"/>
    <w:p w14:paraId="155B8B58" w14:textId="77777777" w:rsidR="00FA614B" w:rsidRPr="00FA614B" w:rsidRDefault="00FA614B" w:rsidP="00FA614B">
      <w:pPr>
        <w:pStyle w:val="Nadpis2"/>
      </w:pPr>
      <w:r w:rsidRPr="00FA614B">
        <w:t>Požadavky na zpracování prováděcí dokumentace</w:t>
      </w:r>
    </w:p>
    <w:p w14:paraId="73FD78EC" w14:textId="79D30ACF" w:rsidR="00FA614B" w:rsidRPr="00314B5F" w:rsidRDefault="00FA614B" w:rsidP="00FA614B">
      <w:r>
        <w:t xml:space="preserve">Vybraný dodavatel </w:t>
      </w:r>
      <w:r w:rsidRPr="00314B5F">
        <w:t xml:space="preserve">před zahájením implementačních prací zpracuje prováděcí dokumentaci, která bude důsledně vycházet z předimplementační analýzy a bude zahrnovat všechny aktivity potřebné pro řádné zajištění implementace předmětu plnění. </w:t>
      </w:r>
    </w:p>
    <w:p w14:paraId="5E14DA49" w14:textId="35C19506" w:rsidR="00FA614B" w:rsidRPr="00314B5F" w:rsidRDefault="00FA614B" w:rsidP="00FA614B">
      <w:r w:rsidRPr="00314B5F">
        <w:t xml:space="preserve">Jako podklad pro zpracování prováděcí dokumentace </w:t>
      </w:r>
      <w:r>
        <w:t xml:space="preserve">tedy vybraný dodavatel </w:t>
      </w:r>
      <w:r w:rsidRPr="00314B5F">
        <w:t xml:space="preserve">provede předimplementační analýzu, která bude zohledňovat stávající prostředí zadavatele ve vztahu ke konkrétnímu nabízenému plnění </w:t>
      </w:r>
      <w:r>
        <w:t>dodavatele</w:t>
      </w:r>
      <w:r w:rsidRPr="00314B5F">
        <w:t xml:space="preserve">, zejména pak s ohledem na </w:t>
      </w:r>
      <w:r>
        <w:t xml:space="preserve">dodavatelem </w:t>
      </w:r>
      <w:r w:rsidRPr="00314B5F">
        <w:t>použité technické řešení, minimálně pro následující oblasti:</w:t>
      </w:r>
    </w:p>
    <w:p w14:paraId="610719BB" w14:textId="77777777" w:rsidR="00FA614B" w:rsidRPr="004A5821" w:rsidRDefault="00FA614B" w:rsidP="000E7C16">
      <w:pPr>
        <w:pStyle w:val="Odstavecseseznamem"/>
        <w:numPr>
          <w:ilvl w:val="0"/>
          <w:numId w:val="20"/>
        </w:numPr>
        <w:contextualSpacing w:val="0"/>
      </w:pPr>
      <w:r w:rsidRPr="004A5821">
        <w:t>Analýza aplikačního a technického prostředí zadavatele s ohledem na nabízené řešení</w:t>
      </w:r>
      <w:r>
        <w:t>, včetně provedení analýzy stávajících formulářů a životních situací, které jsou nejčastěji využívané občany, součástí analýzy formulářů bude i návrh optimalizace počtu a typu používaných formulářů.</w:t>
      </w:r>
    </w:p>
    <w:p w14:paraId="6872F465" w14:textId="77777777" w:rsidR="00FA614B" w:rsidRPr="004A5821" w:rsidRDefault="00FA614B" w:rsidP="000E7C16">
      <w:pPr>
        <w:pStyle w:val="Odstavecseseznamem"/>
        <w:numPr>
          <w:ilvl w:val="0"/>
          <w:numId w:val="20"/>
        </w:numPr>
        <w:ind w:left="357" w:hanging="357"/>
        <w:contextualSpacing w:val="0"/>
      </w:pPr>
      <w:r w:rsidRPr="004A5821">
        <w:t>Způsob začlenění nabízených komodit do prostředí zadavatele.</w:t>
      </w:r>
    </w:p>
    <w:p w14:paraId="1D16C240" w14:textId="77777777" w:rsidR="00FA614B" w:rsidRPr="004A5821" w:rsidRDefault="00FA614B" w:rsidP="000E7C16">
      <w:pPr>
        <w:pStyle w:val="Odstavecseseznamem"/>
        <w:numPr>
          <w:ilvl w:val="0"/>
          <w:numId w:val="20"/>
        </w:numPr>
        <w:ind w:left="357" w:hanging="357"/>
        <w:contextualSpacing w:val="0"/>
      </w:pPr>
      <w:r w:rsidRPr="004A5821">
        <w:t>Konfigurace stávajících systémů ve vztahu k plánovanému využití.</w:t>
      </w:r>
    </w:p>
    <w:p w14:paraId="0D26D8E3" w14:textId="77777777" w:rsidR="00FA614B" w:rsidRPr="004A5821" w:rsidRDefault="00FA614B" w:rsidP="000E7C16">
      <w:pPr>
        <w:pStyle w:val="Odstavecseseznamem"/>
        <w:numPr>
          <w:ilvl w:val="0"/>
          <w:numId w:val="20"/>
        </w:numPr>
        <w:ind w:left="357" w:hanging="357"/>
        <w:contextualSpacing w:val="0"/>
      </w:pPr>
      <w:r w:rsidRPr="004A5821">
        <w:t>Dopady implementace na dostupnost a funkčnost stávajících služeb.</w:t>
      </w:r>
    </w:p>
    <w:p w14:paraId="265B2275" w14:textId="77777777" w:rsidR="00FA614B" w:rsidRPr="004A5821" w:rsidRDefault="00FA614B" w:rsidP="000E7C16">
      <w:pPr>
        <w:pStyle w:val="Odstavecseseznamem"/>
        <w:numPr>
          <w:ilvl w:val="0"/>
          <w:numId w:val="20"/>
        </w:numPr>
        <w:ind w:left="357" w:hanging="357"/>
        <w:contextualSpacing w:val="0"/>
      </w:pPr>
      <w:r w:rsidRPr="004A5821">
        <w:t>Požadované součinnosti Zadavatele.</w:t>
      </w:r>
    </w:p>
    <w:p w14:paraId="11459981" w14:textId="77777777" w:rsidR="00FA614B" w:rsidRPr="004A5821" w:rsidRDefault="00FA614B" w:rsidP="000E7C16">
      <w:pPr>
        <w:pStyle w:val="Odstavecseseznamem"/>
        <w:numPr>
          <w:ilvl w:val="0"/>
          <w:numId w:val="20"/>
        </w:numPr>
        <w:ind w:left="357" w:hanging="357"/>
        <w:contextualSpacing w:val="0"/>
      </w:pPr>
      <w:r w:rsidRPr="004A5821">
        <w:t>Návrh opatření k odstranění neshod zjištěných v průběhu analýzy.</w:t>
      </w:r>
    </w:p>
    <w:p w14:paraId="361EA9C7" w14:textId="77777777" w:rsidR="00FA614B" w:rsidRPr="00AE7E72" w:rsidRDefault="00FA614B" w:rsidP="00FA614B">
      <w:r w:rsidRPr="00AE7E72">
        <w:t xml:space="preserve">Prováděcí dokumentace musí zohlednit podmínky stávajícího stavu, požadavky cílového stavu </w:t>
      </w:r>
      <w:r>
        <w:t xml:space="preserve">dle zadávací dokumentace a konkrétního technického řešení nabízeného uchazečem </w:t>
      </w:r>
      <w:r w:rsidRPr="00AE7E72">
        <w:t>a musí obsahovat minimálně tyto části:</w:t>
      </w:r>
    </w:p>
    <w:p w14:paraId="51640ECF" w14:textId="77777777" w:rsidR="00FA614B" w:rsidRPr="00AE7E72" w:rsidRDefault="00FA614B" w:rsidP="000E7C16">
      <w:pPr>
        <w:pStyle w:val="Odstavecseseznamem"/>
        <w:numPr>
          <w:ilvl w:val="0"/>
          <w:numId w:val="21"/>
        </w:numPr>
        <w:contextualSpacing w:val="0"/>
      </w:pPr>
      <w:r w:rsidRPr="00AE7E72">
        <w:t>Detailní popis cílového stavu včetně funkcionalit jednotlivých částí systému,</w:t>
      </w:r>
    </w:p>
    <w:p w14:paraId="0698FB09" w14:textId="77777777" w:rsidR="00FA614B" w:rsidRPr="00AE7E72" w:rsidRDefault="00FA614B" w:rsidP="000E7C16">
      <w:pPr>
        <w:pStyle w:val="Odstavecseseznamem"/>
        <w:numPr>
          <w:ilvl w:val="0"/>
          <w:numId w:val="21"/>
        </w:numPr>
        <w:contextualSpacing w:val="0"/>
      </w:pPr>
      <w:r w:rsidRPr="00AE7E72">
        <w:t>Způsob zajištění dodávek a služeb,</w:t>
      </w:r>
    </w:p>
    <w:p w14:paraId="35E347F6" w14:textId="77777777" w:rsidR="00FA614B" w:rsidRPr="00FA614B" w:rsidRDefault="00FA614B" w:rsidP="000E7C16">
      <w:pPr>
        <w:pStyle w:val="Odstavecseseznamem"/>
        <w:numPr>
          <w:ilvl w:val="0"/>
          <w:numId w:val="21"/>
        </w:numPr>
        <w:contextualSpacing w:val="0"/>
      </w:pPr>
      <w:r w:rsidRPr="00FA614B">
        <w:t xml:space="preserve">Způsob zajištění koordinace realizace předmětu plnění </w:t>
      </w:r>
      <w:r w:rsidRPr="00AE7E72">
        <w:t>s běžným provozem,</w:t>
      </w:r>
    </w:p>
    <w:p w14:paraId="6B4C6AFA" w14:textId="77777777" w:rsidR="00FA614B" w:rsidRPr="00E16858" w:rsidRDefault="00FA614B" w:rsidP="000E7C16">
      <w:pPr>
        <w:pStyle w:val="Odstavecseseznamem"/>
        <w:numPr>
          <w:ilvl w:val="0"/>
          <w:numId w:val="21"/>
        </w:numPr>
        <w:contextualSpacing w:val="0"/>
      </w:pPr>
      <w:r w:rsidRPr="00AE7E72">
        <w:t xml:space="preserve">Detailní </w:t>
      </w:r>
      <w:r w:rsidRPr="00E16858">
        <w:t>návrh a popis postupu implementace předmětu plnění,</w:t>
      </w:r>
    </w:p>
    <w:p w14:paraId="6DB0E504" w14:textId="77777777" w:rsidR="00FA614B" w:rsidRPr="00E16858" w:rsidRDefault="00FA614B" w:rsidP="000E7C16">
      <w:pPr>
        <w:pStyle w:val="Odstavecseseznamem"/>
        <w:numPr>
          <w:ilvl w:val="0"/>
          <w:numId w:val="21"/>
        </w:numPr>
        <w:contextualSpacing w:val="0"/>
      </w:pPr>
      <w:r w:rsidRPr="00E16858">
        <w:t>Detailní popis zajištění bezpečnosti informací,</w:t>
      </w:r>
    </w:p>
    <w:p w14:paraId="364EAF62" w14:textId="77777777" w:rsidR="00FA614B" w:rsidRPr="00E16858" w:rsidRDefault="00FA614B" w:rsidP="000E7C16">
      <w:pPr>
        <w:pStyle w:val="Odstavecseseznamem"/>
        <w:numPr>
          <w:ilvl w:val="0"/>
          <w:numId w:val="21"/>
        </w:numPr>
        <w:contextualSpacing w:val="0"/>
      </w:pPr>
      <w:r w:rsidRPr="00E16858">
        <w:t>Detailní harmonogram projektu včetně uvedení kritických milníků,</w:t>
      </w:r>
    </w:p>
    <w:p w14:paraId="03AB0FDB" w14:textId="77777777" w:rsidR="00FA614B" w:rsidRPr="00E16858" w:rsidRDefault="00FA614B" w:rsidP="000E7C16">
      <w:pPr>
        <w:pStyle w:val="Odstavecseseznamem"/>
        <w:numPr>
          <w:ilvl w:val="0"/>
          <w:numId w:val="21"/>
        </w:numPr>
        <w:contextualSpacing w:val="0"/>
      </w:pPr>
      <w:r w:rsidRPr="00E16858">
        <w:t>Vazby na stávající systémy a jejich konfigurace,</w:t>
      </w:r>
    </w:p>
    <w:p w14:paraId="548C0273" w14:textId="77777777" w:rsidR="00FA614B" w:rsidRPr="00E16858" w:rsidRDefault="00FA614B" w:rsidP="000E7C16">
      <w:pPr>
        <w:pStyle w:val="Odstavecseseznamem"/>
        <w:numPr>
          <w:ilvl w:val="0"/>
          <w:numId w:val="21"/>
        </w:numPr>
        <w:contextualSpacing w:val="0"/>
      </w:pPr>
      <w:r w:rsidRPr="00E16858">
        <w:t>Návrh akceptačních kritérií a akceptačních testů,</w:t>
      </w:r>
    </w:p>
    <w:p w14:paraId="1A46D0F8" w14:textId="77777777" w:rsidR="00FA614B" w:rsidRPr="00E16858" w:rsidRDefault="00FA614B" w:rsidP="000E7C16">
      <w:pPr>
        <w:pStyle w:val="Odstavecseseznamem"/>
        <w:numPr>
          <w:ilvl w:val="0"/>
          <w:numId w:val="21"/>
        </w:numPr>
        <w:contextualSpacing w:val="0"/>
      </w:pPr>
      <w:r w:rsidRPr="00E16858">
        <w:t>Detailní popis navrhovaných školení.</w:t>
      </w:r>
    </w:p>
    <w:p w14:paraId="29CB6FBE" w14:textId="77777777" w:rsidR="00FA614B" w:rsidRPr="00E16858" w:rsidRDefault="00FA614B" w:rsidP="000E7C16">
      <w:pPr>
        <w:pStyle w:val="Odstavecseseznamem"/>
        <w:numPr>
          <w:ilvl w:val="0"/>
          <w:numId w:val="21"/>
        </w:numPr>
        <w:contextualSpacing w:val="0"/>
      </w:pPr>
      <w:r w:rsidRPr="00E16858">
        <w:t>Obsah a rozsah provozní dokumentace.</w:t>
      </w:r>
    </w:p>
    <w:p w14:paraId="7C8AA7F5" w14:textId="77777777" w:rsidR="00FA614B" w:rsidRPr="00E16858" w:rsidRDefault="00FA614B" w:rsidP="00FA614B">
      <w:r w:rsidRPr="00E16858">
        <w:t xml:space="preserve">Prováděcí dokumentace musí být před zahájením realizace dalších etap plnění výslovně schválena zadavatelem. </w:t>
      </w:r>
    </w:p>
    <w:p w14:paraId="6E5A5D55" w14:textId="77777777" w:rsidR="00FA614B" w:rsidRDefault="00FA614B" w:rsidP="00FA614B">
      <w:r w:rsidRPr="00E16858">
        <w:t>Prováděcí dokumentace bude před ukončením zkušebního provozu aktualizována dle skutečného stavu a následně bude součástí provozní dokumentace.</w:t>
      </w:r>
    </w:p>
    <w:p w14:paraId="59FD724E" w14:textId="77777777" w:rsidR="009F0177" w:rsidRDefault="009F0177" w:rsidP="00FA614B"/>
    <w:p w14:paraId="3A00AC99" w14:textId="77777777" w:rsidR="00FA614B" w:rsidRPr="00CC4851" w:rsidRDefault="00FA614B" w:rsidP="00FA614B">
      <w:pPr>
        <w:pStyle w:val="Nadpis2"/>
      </w:pPr>
      <w:r>
        <w:lastRenderedPageBreak/>
        <w:t>Harmonogram realizace</w:t>
      </w:r>
    </w:p>
    <w:p w14:paraId="46EA2E71" w14:textId="7BB4705B" w:rsidR="00FA614B" w:rsidRPr="00CC4851" w:rsidRDefault="00FA614B" w:rsidP="00FA614B">
      <w:r>
        <w:t xml:space="preserve">Dodavatel </w:t>
      </w:r>
      <w:r w:rsidRPr="00CC4851">
        <w:t xml:space="preserve">zajistí projektové vedení po celou dobu realizace zakázky </w:t>
      </w:r>
      <w:r>
        <w:t>osobou odpovědnou za realizaci předmětu plnění, která bude hlavní kontaktní osobou a která bude přítomna při všech jednáních týkajících se projektu</w:t>
      </w:r>
      <w:r w:rsidRPr="00CC4851">
        <w:t xml:space="preserve">. </w:t>
      </w:r>
    </w:p>
    <w:p w14:paraId="21047C1F" w14:textId="6D3573AC" w:rsidR="00FA614B" w:rsidRDefault="00FA614B" w:rsidP="00FA614B">
      <w:r w:rsidRPr="00AE7E72">
        <w:t xml:space="preserve">Zadavatel vyžaduje dodržení následujícího harmonogramu plnění – zde jsou uvedeny maximální možné lhůty pro jednotlivé kritické milníky. Údaj D značí </w:t>
      </w:r>
      <w:bookmarkStart w:id="3" w:name="_Hlk151326519"/>
      <w:bookmarkStart w:id="4" w:name="_Hlk151407607"/>
      <w:r>
        <w:rPr>
          <w:rFonts w:cs="Arial"/>
        </w:rPr>
        <w:t xml:space="preserve">datum </w:t>
      </w:r>
      <w:r w:rsidRPr="00B74774">
        <w:rPr>
          <w:rFonts w:cs="Arial"/>
        </w:rPr>
        <w:t xml:space="preserve">nabytí účinnosti </w:t>
      </w:r>
      <w:r>
        <w:rPr>
          <w:rFonts w:cs="Arial"/>
        </w:rPr>
        <w:t>Smlouvy o dílo</w:t>
      </w:r>
      <w:bookmarkEnd w:id="3"/>
      <w:bookmarkEnd w:id="4"/>
      <w:r w:rsidR="005A0BBD">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2"/>
        <w:gridCol w:w="5637"/>
        <w:gridCol w:w="2441"/>
      </w:tblGrid>
      <w:tr w:rsidR="00FA614B" w:rsidRPr="00FA614B" w14:paraId="20F9EA0A" w14:textId="77777777" w:rsidTr="009F0177">
        <w:tc>
          <w:tcPr>
            <w:tcW w:w="982" w:type="dxa"/>
            <w:shd w:val="clear" w:color="auto" w:fill="BFBFBF" w:themeFill="background1" w:themeFillShade="BF"/>
          </w:tcPr>
          <w:p w14:paraId="785C4324" w14:textId="77777777" w:rsidR="00FA614B" w:rsidRPr="00FA614B" w:rsidRDefault="00FA614B" w:rsidP="00897BF6">
            <w:pPr>
              <w:keepNext/>
              <w:keepLines/>
              <w:autoSpaceDE w:val="0"/>
              <w:autoSpaceDN w:val="0"/>
              <w:adjustRightInd w:val="0"/>
              <w:ind w:left="48" w:right="60"/>
              <w:rPr>
                <w:rFonts w:cs="Arial"/>
                <w:b/>
                <w:bCs/>
                <w:color w:val="000000"/>
                <w:szCs w:val="20"/>
              </w:rPr>
            </w:pPr>
            <w:proofErr w:type="spellStart"/>
            <w:r w:rsidRPr="00FA614B">
              <w:rPr>
                <w:rFonts w:cs="Arial"/>
                <w:b/>
                <w:bCs/>
                <w:color w:val="000000"/>
                <w:szCs w:val="20"/>
              </w:rPr>
              <w:t>Poř</w:t>
            </w:r>
            <w:proofErr w:type="spellEnd"/>
            <w:r w:rsidRPr="00FA614B">
              <w:rPr>
                <w:rFonts w:cs="Arial"/>
                <w:b/>
                <w:bCs/>
                <w:color w:val="000000"/>
                <w:szCs w:val="20"/>
              </w:rPr>
              <w:t>. č.</w:t>
            </w:r>
          </w:p>
        </w:tc>
        <w:tc>
          <w:tcPr>
            <w:tcW w:w="5637" w:type="dxa"/>
            <w:shd w:val="clear" w:color="auto" w:fill="BFBFBF" w:themeFill="background1" w:themeFillShade="BF"/>
          </w:tcPr>
          <w:p w14:paraId="0688ACC6" w14:textId="77777777" w:rsidR="00FA614B" w:rsidRPr="00FA614B" w:rsidRDefault="00FA614B" w:rsidP="00897BF6">
            <w:pPr>
              <w:keepNext/>
              <w:keepLines/>
              <w:autoSpaceDE w:val="0"/>
              <w:autoSpaceDN w:val="0"/>
              <w:adjustRightInd w:val="0"/>
              <w:ind w:left="48" w:right="60"/>
              <w:rPr>
                <w:rFonts w:cs="Arial"/>
                <w:b/>
                <w:bCs/>
                <w:color w:val="000000"/>
                <w:szCs w:val="20"/>
              </w:rPr>
            </w:pPr>
            <w:bookmarkStart w:id="5" w:name="OLE_LINK3"/>
            <w:bookmarkStart w:id="6" w:name="OLE_LINK4"/>
            <w:bookmarkStart w:id="7" w:name="OLE_LINK5"/>
            <w:r w:rsidRPr="00FA614B">
              <w:rPr>
                <w:rFonts w:cs="Arial"/>
                <w:b/>
                <w:bCs/>
                <w:color w:val="000000"/>
                <w:szCs w:val="20"/>
              </w:rPr>
              <w:t>Aktivita projektu</w:t>
            </w:r>
          </w:p>
        </w:tc>
        <w:tc>
          <w:tcPr>
            <w:tcW w:w="2441" w:type="dxa"/>
            <w:shd w:val="clear" w:color="auto" w:fill="BFBFBF" w:themeFill="background1" w:themeFillShade="BF"/>
          </w:tcPr>
          <w:p w14:paraId="4458E299" w14:textId="77777777" w:rsidR="00FA614B" w:rsidRPr="00FA614B" w:rsidRDefault="00FA614B" w:rsidP="00897BF6">
            <w:pPr>
              <w:keepNext/>
              <w:keepLines/>
              <w:autoSpaceDE w:val="0"/>
              <w:autoSpaceDN w:val="0"/>
              <w:adjustRightInd w:val="0"/>
              <w:ind w:left="48" w:right="60"/>
              <w:rPr>
                <w:rFonts w:cs="Arial"/>
                <w:b/>
                <w:bCs/>
                <w:color w:val="000000"/>
                <w:szCs w:val="20"/>
              </w:rPr>
            </w:pPr>
            <w:r w:rsidRPr="00FA614B">
              <w:rPr>
                <w:rFonts w:cs="Arial"/>
                <w:b/>
                <w:bCs/>
                <w:color w:val="000000"/>
                <w:szCs w:val="20"/>
              </w:rPr>
              <w:t>Termín pro dokončení aktivity</w:t>
            </w:r>
          </w:p>
        </w:tc>
      </w:tr>
      <w:tr w:rsidR="00FA614B" w:rsidRPr="00FA614B" w14:paraId="0AA8D81A" w14:textId="77777777" w:rsidTr="00FA614B">
        <w:tc>
          <w:tcPr>
            <w:tcW w:w="9060" w:type="dxa"/>
            <w:gridSpan w:val="3"/>
            <w:shd w:val="clear" w:color="auto" w:fill="F2F2F2" w:themeFill="background1" w:themeFillShade="F2"/>
          </w:tcPr>
          <w:p w14:paraId="2E944F09" w14:textId="6E96067F" w:rsidR="00FA614B" w:rsidRPr="00FA614B" w:rsidRDefault="00FA614B" w:rsidP="00FA614B">
            <w:pPr>
              <w:keepNext/>
              <w:keepLines/>
              <w:autoSpaceDE w:val="0"/>
              <w:autoSpaceDN w:val="0"/>
              <w:adjustRightInd w:val="0"/>
              <w:spacing w:before="60" w:after="60"/>
              <w:ind w:left="45" w:right="62"/>
              <w:rPr>
                <w:rFonts w:cs="Arial"/>
                <w:color w:val="000000"/>
                <w:szCs w:val="20"/>
              </w:rPr>
            </w:pPr>
            <w:r w:rsidRPr="00FA614B">
              <w:rPr>
                <w:rFonts w:cs="Arial"/>
                <w:b/>
                <w:bCs/>
                <w:szCs w:val="22"/>
              </w:rPr>
              <w:t xml:space="preserve">Etapa 1 - </w:t>
            </w:r>
            <w:r w:rsidR="009F0177">
              <w:rPr>
                <w:rFonts w:cs="Arial"/>
                <w:b/>
                <w:bCs/>
                <w:szCs w:val="22"/>
              </w:rPr>
              <w:t>D</w:t>
            </w:r>
            <w:r w:rsidRPr="00FA614B">
              <w:rPr>
                <w:rFonts w:cs="Arial"/>
                <w:b/>
                <w:bCs/>
                <w:szCs w:val="22"/>
              </w:rPr>
              <w:t>odávka a implementace</w:t>
            </w:r>
          </w:p>
        </w:tc>
      </w:tr>
      <w:tr w:rsidR="008732FA" w:rsidRPr="00FA614B" w14:paraId="62D01D8E" w14:textId="77777777" w:rsidTr="00FA614B">
        <w:tc>
          <w:tcPr>
            <w:tcW w:w="982" w:type="dxa"/>
          </w:tcPr>
          <w:p w14:paraId="0A770A08" w14:textId="77777777" w:rsidR="008732FA" w:rsidRPr="00FA614B" w:rsidRDefault="008732FA" w:rsidP="008732FA">
            <w:pPr>
              <w:keepNext/>
              <w:keepLines/>
              <w:autoSpaceDE w:val="0"/>
              <w:autoSpaceDN w:val="0"/>
              <w:adjustRightInd w:val="0"/>
              <w:spacing w:before="60" w:after="60"/>
              <w:ind w:left="45" w:right="62"/>
              <w:jc w:val="center"/>
              <w:rPr>
                <w:rFonts w:cs="Arial"/>
                <w:bCs/>
                <w:color w:val="000000"/>
                <w:szCs w:val="20"/>
              </w:rPr>
            </w:pPr>
            <w:r w:rsidRPr="00FA614B">
              <w:rPr>
                <w:rFonts w:cs="Arial"/>
                <w:bCs/>
                <w:color w:val="000000"/>
                <w:szCs w:val="20"/>
              </w:rPr>
              <w:t>E1.1</w:t>
            </w:r>
          </w:p>
        </w:tc>
        <w:tc>
          <w:tcPr>
            <w:tcW w:w="5637" w:type="dxa"/>
            <w:shd w:val="clear" w:color="auto" w:fill="auto"/>
          </w:tcPr>
          <w:p w14:paraId="13C88B4F" w14:textId="77777777" w:rsidR="008732FA" w:rsidRPr="00FA614B" w:rsidRDefault="008732FA" w:rsidP="008732FA">
            <w:pPr>
              <w:keepNext/>
              <w:keepLines/>
              <w:autoSpaceDE w:val="0"/>
              <w:autoSpaceDN w:val="0"/>
              <w:adjustRightInd w:val="0"/>
              <w:spacing w:before="60" w:after="60"/>
              <w:ind w:left="45" w:right="62"/>
              <w:rPr>
                <w:rFonts w:cs="Arial"/>
                <w:bCs/>
                <w:color w:val="000000"/>
                <w:szCs w:val="20"/>
              </w:rPr>
            </w:pPr>
            <w:r w:rsidRPr="00FA614B">
              <w:rPr>
                <w:rFonts w:cs="Arial"/>
                <w:bCs/>
                <w:color w:val="000000"/>
                <w:szCs w:val="20"/>
              </w:rPr>
              <w:t>Předimplementační analýza a zhotovení Prováděcí dokumentace</w:t>
            </w:r>
          </w:p>
        </w:tc>
        <w:tc>
          <w:tcPr>
            <w:tcW w:w="2441" w:type="dxa"/>
            <w:shd w:val="clear" w:color="auto" w:fill="auto"/>
          </w:tcPr>
          <w:p w14:paraId="0F95043C" w14:textId="0B503896" w:rsidR="008732FA" w:rsidRPr="00FA614B" w:rsidRDefault="008732FA" w:rsidP="008732FA">
            <w:pPr>
              <w:keepNext/>
              <w:keepLines/>
              <w:autoSpaceDE w:val="0"/>
              <w:autoSpaceDN w:val="0"/>
              <w:adjustRightInd w:val="0"/>
              <w:spacing w:before="60" w:after="60"/>
              <w:ind w:left="45" w:right="62"/>
              <w:rPr>
                <w:rFonts w:cs="Arial"/>
                <w:color w:val="000000"/>
                <w:szCs w:val="20"/>
              </w:rPr>
            </w:pPr>
            <w:r w:rsidRPr="006F4075">
              <w:rPr>
                <w:rFonts w:cs="Arial"/>
                <w:color w:val="000000"/>
                <w:szCs w:val="20"/>
              </w:rPr>
              <w:t>D+60 dní</w:t>
            </w:r>
          </w:p>
        </w:tc>
      </w:tr>
      <w:tr w:rsidR="008732FA" w:rsidRPr="00FA614B" w14:paraId="3C4B3FD7" w14:textId="77777777" w:rsidTr="00FA614B">
        <w:tc>
          <w:tcPr>
            <w:tcW w:w="982" w:type="dxa"/>
          </w:tcPr>
          <w:p w14:paraId="650AAD6C" w14:textId="77777777" w:rsidR="008732FA" w:rsidRPr="00FA614B" w:rsidRDefault="008732FA" w:rsidP="008732FA">
            <w:pPr>
              <w:keepNext/>
              <w:keepLines/>
              <w:autoSpaceDE w:val="0"/>
              <w:autoSpaceDN w:val="0"/>
              <w:adjustRightInd w:val="0"/>
              <w:spacing w:before="60" w:after="60"/>
              <w:ind w:left="45" w:right="62"/>
              <w:jc w:val="center"/>
              <w:rPr>
                <w:rFonts w:cs="Arial"/>
                <w:bCs/>
                <w:color w:val="000000"/>
                <w:szCs w:val="20"/>
              </w:rPr>
            </w:pPr>
            <w:r w:rsidRPr="00FA614B">
              <w:rPr>
                <w:rFonts w:cs="Arial"/>
                <w:bCs/>
                <w:color w:val="000000"/>
                <w:szCs w:val="20"/>
              </w:rPr>
              <w:t>E1.2</w:t>
            </w:r>
          </w:p>
        </w:tc>
        <w:tc>
          <w:tcPr>
            <w:tcW w:w="5637" w:type="dxa"/>
            <w:shd w:val="clear" w:color="auto" w:fill="auto"/>
          </w:tcPr>
          <w:p w14:paraId="65ABE418" w14:textId="77777777" w:rsidR="008732FA" w:rsidRPr="00FA614B" w:rsidRDefault="008732FA" w:rsidP="008732FA">
            <w:pPr>
              <w:keepNext/>
              <w:keepLines/>
              <w:autoSpaceDE w:val="0"/>
              <w:autoSpaceDN w:val="0"/>
              <w:adjustRightInd w:val="0"/>
              <w:spacing w:before="60" w:after="60"/>
              <w:ind w:left="45" w:right="62"/>
              <w:rPr>
                <w:rFonts w:cs="Arial"/>
                <w:bCs/>
                <w:color w:val="000000"/>
                <w:szCs w:val="20"/>
              </w:rPr>
            </w:pPr>
            <w:r w:rsidRPr="00FA614B">
              <w:rPr>
                <w:rFonts w:cs="Arial"/>
                <w:bCs/>
                <w:color w:val="000000"/>
                <w:szCs w:val="20"/>
              </w:rPr>
              <w:t>Předání Prováděcí dokumentace Zadavateli, připomínkové řízení</w:t>
            </w:r>
          </w:p>
        </w:tc>
        <w:tc>
          <w:tcPr>
            <w:tcW w:w="2441" w:type="dxa"/>
            <w:shd w:val="clear" w:color="auto" w:fill="auto"/>
          </w:tcPr>
          <w:p w14:paraId="0E5A6116" w14:textId="10DEE515" w:rsidR="008732FA" w:rsidRPr="00FA614B" w:rsidRDefault="008732FA" w:rsidP="008732FA">
            <w:pPr>
              <w:keepNext/>
              <w:keepLines/>
              <w:autoSpaceDE w:val="0"/>
              <w:autoSpaceDN w:val="0"/>
              <w:adjustRightInd w:val="0"/>
              <w:spacing w:before="60" w:after="60"/>
              <w:ind w:left="45" w:right="62"/>
              <w:rPr>
                <w:rFonts w:cs="Arial"/>
                <w:color w:val="000000"/>
                <w:szCs w:val="20"/>
              </w:rPr>
            </w:pPr>
            <w:r w:rsidRPr="006F4075">
              <w:rPr>
                <w:rFonts w:cs="Arial"/>
                <w:color w:val="000000"/>
                <w:szCs w:val="20"/>
              </w:rPr>
              <w:t>D+60 dní</w:t>
            </w:r>
          </w:p>
        </w:tc>
      </w:tr>
      <w:tr w:rsidR="00FA614B" w:rsidRPr="00FA614B" w14:paraId="545AD045" w14:textId="77777777" w:rsidTr="00FA614B">
        <w:tc>
          <w:tcPr>
            <w:tcW w:w="982" w:type="dxa"/>
          </w:tcPr>
          <w:p w14:paraId="2DDCF373" w14:textId="77777777" w:rsidR="00FA614B" w:rsidRPr="00FA614B" w:rsidRDefault="00FA614B" w:rsidP="00FA614B">
            <w:pPr>
              <w:keepNext/>
              <w:keepLines/>
              <w:autoSpaceDE w:val="0"/>
              <w:autoSpaceDN w:val="0"/>
              <w:adjustRightInd w:val="0"/>
              <w:spacing w:before="60" w:after="60"/>
              <w:ind w:left="45" w:right="62"/>
              <w:jc w:val="center"/>
              <w:rPr>
                <w:rFonts w:cs="Arial"/>
                <w:bCs/>
                <w:color w:val="000000"/>
                <w:szCs w:val="20"/>
              </w:rPr>
            </w:pPr>
            <w:r w:rsidRPr="00FA614B">
              <w:rPr>
                <w:rFonts w:cs="Arial"/>
                <w:bCs/>
                <w:color w:val="000000"/>
                <w:szCs w:val="20"/>
              </w:rPr>
              <w:t>E1.3</w:t>
            </w:r>
          </w:p>
        </w:tc>
        <w:tc>
          <w:tcPr>
            <w:tcW w:w="5637" w:type="dxa"/>
            <w:shd w:val="clear" w:color="auto" w:fill="auto"/>
          </w:tcPr>
          <w:p w14:paraId="10743C2D" w14:textId="77777777" w:rsidR="00FA614B" w:rsidRPr="00FA614B" w:rsidRDefault="00FA614B" w:rsidP="00FA614B">
            <w:pPr>
              <w:keepNext/>
              <w:keepLines/>
              <w:autoSpaceDE w:val="0"/>
              <w:autoSpaceDN w:val="0"/>
              <w:adjustRightInd w:val="0"/>
              <w:spacing w:before="60" w:after="60"/>
              <w:ind w:left="45" w:right="62"/>
              <w:rPr>
                <w:rFonts w:cs="Arial"/>
                <w:bCs/>
                <w:color w:val="000000"/>
                <w:szCs w:val="20"/>
              </w:rPr>
            </w:pPr>
            <w:r w:rsidRPr="00FA614B">
              <w:rPr>
                <w:rFonts w:cs="Arial"/>
                <w:bCs/>
                <w:color w:val="000000"/>
                <w:szCs w:val="20"/>
              </w:rPr>
              <w:t>Zapracování připomínek a předání finální verze Prováděcí dokumentace – akceptace Zadavatelem</w:t>
            </w:r>
          </w:p>
        </w:tc>
        <w:tc>
          <w:tcPr>
            <w:tcW w:w="2441" w:type="dxa"/>
            <w:shd w:val="clear" w:color="auto" w:fill="auto"/>
          </w:tcPr>
          <w:p w14:paraId="56354311" w14:textId="7429B352" w:rsidR="00FA614B" w:rsidRPr="00FA614B" w:rsidRDefault="00FA614B" w:rsidP="00FA614B">
            <w:pPr>
              <w:keepNext/>
              <w:keepLines/>
              <w:autoSpaceDE w:val="0"/>
              <w:autoSpaceDN w:val="0"/>
              <w:adjustRightInd w:val="0"/>
              <w:spacing w:before="60" w:after="60"/>
              <w:ind w:left="45" w:right="62"/>
              <w:rPr>
                <w:rFonts w:cs="Arial"/>
                <w:color w:val="000000"/>
                <w:szCs w:val="20"/>
              </w:rPr>
            </w:pPr>
            <w:r w:rsidRPr="00FA614B">
              <w:rPr>
                <w:rFonts w:cs="Arial"/>
                <w:color w:val="000000"/>
                <w:szCs w:val="20"/>
              </w:rPr>
              <w:t>D+</w:t>
            </w:r>
            <w:r w:rsidR="008732FA">
              <w:rPr>
                <w:rFonts w:cs="Arial"/>
                <w:color w:val="000000"/>
                <w:szCs w:val="20"/>
              </w:rPr>
              <w:t>9</w:t>
            </w:r>
            <w:r w:rsidR="00C7287C">
              <w:rPr>
                <w:rFonts w:cs="Arial"/>
                <w:color w:val="000000"/>
                <w:szCs w:val="20"/>
              </w:rPr>
              <w:t>0</w:t>
            </w:r>
            <w:r w:rsidR="00C7287C" w:rsidRPr="00FA614B">
              <w:rPr>
                <w:rFonts w:cs="Arial"/>
                <w:color w:val="000000"/>
                <w:szCs w:val="20"/>
              </w:rPr>
              <w:t xml:space="preserve"> </w:t>
            </w:r>
            <w:r w:rsidRPr="00FA614B">
              <w:rPr>
                <w:rFonts w:cs="Arial"/>
                <w:color w:val="000000"/>
                <w:szCs w:val="20"/>
              </w:rPr>
              <w:t>dní</w:t>
            </w:r>
          </w:p>
        </w:tc>
      </w:tr>
      <w:tr w:rsidR="00FA614B" w:rsidRPr="00FA614B" w14:paraId="2A6D70CC" w14:textId="77777777" w:rsidTr="00FA614B">
        <w:tc>
          <w:tcPr>
            <w:tcW w:w="982" w:type="dxa"/>
          </w:tcPr>
          <w:p w14:paraId="3AF4D2E4" w14:textId="77777777" w:rsidR="00FA614B" w:rsidRPr="00FA614B" w:rsidRDefault="00FA614B" w:rsidP="00FA614B">
            <w:pPr>
              <w:keepNext/>
              <w:keepLines/>
              <w:autoSpaceDE w:val="0"/>
              <w:autoSpaceDN w:val="0"/>
              <w:adjustRightInd w:val="0"/>
              <w:spacing w:before="60" w:after="60"/>
              <w:ind w:left="45" w:right="62"/>
              <w:jc w:val="center"/>
              <w:rPr>
                <w:rFonts w:cs="Arial"/>
                <w:bCs/>
                <w:color w:val="000000"/>
                <w:szCs w:val="20"/>
              </w:rPr>
            </w:pPr>
            <w:r w:rsidRPr="00FA614B">
              <w:rPr>
                <w:rFonts w:cs="Arial"/>
                <w:bCs/>
                <w:color w:val="000000"/>
                <w:szCs w:val="20"/>
              </w:rPr>
              <w:t>E1.4</w:t>
            </w:r>
          </w:p>
        </w:tc>
        <w:tc>
          <w:tcPr>
            <w:tcW w:w="5637" w:type="dxa"/>
            <w:shd w:val="clear" w:color="auto" w:fill="auto"/>
          </w:tcPr>
          <w:p w14:paraId="5D4B36EA" w14:textId="77777777" w:rsidR="00FA614B" w:rsidRPr="00FA614B" w:rsidRDefault="00FA614B" w:rsidP="00FA614B">
            <w:pPr>
              <w:keepNext/>
              <w:keepLines/>
              <w:autoSpaceDE w:val="0"/>
              <w:autoSpaceDN w:val="0"/>
              <w:adjustRightInd w:val="0"/>
              <w:spacing w:before="60" w:after="60"/>
              <w:ind w:left="45" w:right="62"/>
              <w:rPr>
                <w:rFonts w:cs="Arial"/>
                <w:bCs/>
                <w:color w:val="000000"/>
                <w:szCs w:val="20"/>
              </w:rPr>
            </w:pPr>
            <w:r w:rsidRPr="00FA614B">
              <w:rPr>
                <w:rFonts w:cs="Arial"/>
                <w:bCs/>
                <w:color w:val="000000"/>
                <w:szCs w:val="20"/>
              </w:rPr>
              <w:t>Dodávky a implementace</w:t>
            </w:r>
          </w:p>
        </w:tc>
        <w:tc>
          <w:tcPr>
            <w:tcW w:w="2441" w:type="dxa"/>
            <w:shd w:val="clear" w:color="auto" w:fill="auto"/>
          </w:tcPr>
          <w:p w14:paraId="298690CA" w14:textId="28252C91" w:rsidR="00FA614B" w:rsidRPr="00FA614B" w:rsidRDefault="008732FA" w:rsidP="00FA614B">
            <w:pPr>
              <w:keepNext/>
              <w:keepLines/>
              <w:autoSpaceDE w:val="0"/>
              <w:autoSpaceDN w:val="0"/>
              <w:adjustRightInd w:val="0"/>
              <w:spacing w:before="60" w:after="60"/>
              <w:ind w:left="45" w:right="62"/>
              <w:rPr>
                <w:rFonts w:cs="Arial"/>
                <w:color w:val="000000"/>
                <w:szCs w:val="20"/>
              </w:rPr>
            </w:pPr>
            <w:r w:rsidRPr="00FA614B">
              <w:rPr>
                <w:rFonts w:cs="Arial"/>
                <w:color w:val="000000"/>
                <w:szCs w:val="20"/>
              </w:rPr>
              <w:t>D+</w:t>
            </w:r>
            <w:r>
              <w:rPr>
                <w:rFonts w:cs="Arial"/>
                <w:color w:val="000000"/>
                <w:szCs w:val="20"/>
              </w:rPr>
              <w:t>180</w:t>
            </w:r>
            <w:r w:rsidRPr="00FA614B">
              <w:rPr>
                <w:rFonts w:cs="Arial"/>
                <w:color w:val="000000"/>
                <w:szCs w:val="20"/>
              </w:rPr>
              <w:t xml:space="preserve"> dní</w:t>
            </w:r>
          </w:p>
        </w:tc>
      </w:tr>
      <w:tr w:rsidR="008732FA" w:rsidRPr="00FA614B" w14:paraId="323DB5FC" w14:textId="77777777" w:rsidTr="00FA614B">
        <w:tc>
          <w:tcPr>
            <w:tcW w:w="982" w:type="dxa"/>
          </w:tcPr>
          <w:p w14:paraId="438D0CAA" w14:textId="77777777" w:rsidR="008732FA" w:rsidRPr="00FA614B" w:rsidRDefault="008732FA" w:rsidP="008732FA">
            <w:pPr>
              <w:keepNext/>
              <w:keepLines/>
              <w:autoSpaceDE w:val="0"/>
              <w:autoSpaceDN w:val="0"/>
              <w:adjustRightInd w:val="0"/>
              <w:spacing w:before="60" w:after="60"/>
              <w:ind w:left="45" w:right="62"/>
              <w:jc w:val="center"/>
              <w:rPr>
                <w:rFonts w:cs="Arial"/>
                <w:bCs/>
                <w:color w:val="000000"/>
                <w:szCs w:val="20"/>
              </w:rPr>
            </w:pPr>
            <w:r w:rsidRPr="00FA614B">
              <w:rPr>
                <w:rFonts w:cs="Arial"/>
                <w:bCs/>
                <w:color w:val="000000"/>
                <w:szCs w:val="20"/>
              </w:rPr>
              <w:t>E1.5</w:t>
            </w:r>
          </w:p>
        </w:tc>
        <w:tc>
          <w:tcPr>
            <w:tcW w:w="5637" w:type="dxa"/>
            <w:shd w:val="clear" w:color="auto" w:fill="auto"/>
          </w:tcPr>
          <w:p w14:paraId="152BA556" w14:textId="77777777" w:rsidR="008732FA" w:rsidRPr="00FA614B" w:rsidRDefault="008732FA" w:rsidP="008732FA">
            <w:pPr>
              <w:keepNext/>
              <w:keepLines/>
              <w:autoSpaceDE w:val="0"/>
              <w:autoSpaceDN w:val="0"/>
              <w:adjustRightInd w:val="0"/>
              <w:spacing w:before="60" w:after="60"/>
              <w:ind w:left="45" w:right="62"/>
              <w:rPr>
                <w:rFonts w:cs="Arial"/>
                <w:bCs/>
                <w:color w:val="000000"/>
                <w:szCs w:val="20"/>
              </w:rPr>
            </w:pPr>
            <w:r w:rsidRPr="00FA614B">
              <w:rPr>
                <w:rFonts w:cs="Arial"/>
                <w:bCs/>
                <w:color w:val="000000"/>
                <w:szCs w:val="20"/>
              </w:rPr>
              <w:t>Školení uživatelů a administrátorů</w:t>
            </w:r>
          </w:p>
        </w:tc>
        <w:tc>
          <w:tcPr>
            <w:tcW w:w="2441" w:type="dxa"/>
            <w:shd w:val="clear" w:color="auto" w:fill="auto"/>
          </w:tcPr>
          <w:p w14:paraId="467283F9" w14:textId="77373BEC" w:rsidR="008732FA" w:rsidRPr="00FA614B" w:rsidRDefault="008732FA" w:rsidP="008732FA">
            <w:pPr>
              <w:keepNext/>
              <w:keepLines/>
              <w:autoSpaceDE w:val="0"/>
              <w:autoSpaceDN w:val="0"/>
              <w:adjustRightInd w:val="0"/>
              <w:spacing w:before="60" w:after="60"/>
              <w:ind w:left="45" w:right="62"/>
              <w:rPr>
                <w:rFonts w:cs="Arial"/>
                <w:color w:val="000000"/>
                <w:szCs w:val="20"/>
              </w:rPr>
            </w:pPr>
            <w:r w:rsidRPr="00BA5ACC">
              <w:rPr>
                <w:rFonts w:cs="Arial"/>
                <w:color w:val="000000"/>
                <w:szCs w:val="20"/>
              </w:rPr>
              <w:t>D+180 dní</w:t>
            </w:r>
          </w:p>
        </w:tc>
      </w:tr>
      <w:tr w:rsidR="008732FA" w:rsidRPr="00FA614B" w14:paraId="0425A908" w14:textId="77777777" w:rsidTr="00FA614B">
        <w:tc>
          <w:tcPr>
            <w:tcW w:w="982" w:type="dxa"/>
          </w:tcPr>
          <w:p w14:paraId="047B45D0" w14:textId="77777777" w:rsidR="008732FA" w:rsidRPr="00FA614B" w:rsidRDefault="008732FA" w:rsidP="008732FA">
            <w:pPr>
              <w:keepNext/>
              <w:keepLines/>
              <w:autoSpaceDE w:val="0"/>
              <w:autoSpaceDN w:val="0"/>
              <w:adjustRightInd w:val="0"/>
              <w:spacing w:before="60" w:after="60"/>
              <w:ind w:left="45" w:right="62"/>
              <w:jc w:val="center"/>
              <w:rPr>
                <w:rFonts w:cs="Arial"/>
                <w:bCs/>
                <w:color w:val="000000"/>
                <w:szCs w:val="20"/>
              </w:rPr>
            </w:pPr>
            <w:r w:rsidRPr="00FA614B">
              <w:rPr>
                <w:rFonts w:cs="Arial"/>
                <w:bCs/>
                <w:color w:val="000000"/>
                <w:szCs w:val="20"/>
              </w:rPr>
              <w:t>E1.6</w:t>
            </w:r>
          </w:p>
        </w:tc>
        <w:tc>
          <w:tcPr>
            <w:tcW w:w="5637" w:type="dxa"/>
            <w:shd w:val="clear" w:color="auto" w:fill="auto"/>
          </w:tcPr>
          <w:p w14:paraId="0831F80F" w14:textId="77777777" w:rsidR="008732FA" w:rsidRPr="00FA614B" w:rsidRDefault="008732FA" w:rsidP="008732FA">
            <w:pPr>
              <w:keepNext/>
              <w:keepLines/>
              <w:autoSpaceDE w:val="0"/>
              <w:autoSpaceDN w:val="0"/>
              <w:adjustRightInd w:val="0"/>
              <w:spacing w:before="60" w:after="60"/>
              <w:ind w:left="45" w:right="62"/>
              <w:rPr>
                <w:rFonts w:cs="Arial"/>
                <w:bCs/>
                <w:color w:val="000000"/>
                <w:szCs w:val="20"/>
              </w:rPr>
            </w:pPr>
            <w:r w:rsidRPr="00FA614B">
              <w:rPr>
                <w:rFonts w:cs="Arial"/>
                <w:bCs/>
                <w:color w:val="000000"/>
                <w:szCs w:val="20"/>
              </w:rPr>
              <w:t>Zkušební (testovací) provoz</w:t>
            </w:r>
          </w:p>
        </w:tc>
        <w:tc>
          <w:tcPr>
            <w:tcW w:w="2441" w:type="dxa"/>
            <w:shd w:val="clear" w:color="auto" w:fill="auto"/>
          </w:tcPr>
          <w:p w14:paraId="00061379" w14:textId="108DF894" w:rsidR="008732FA" w:rsidRPr="00FA614B" w:rsidRDefault="008732FA" w:rsidP="008732FA">
            <w:pPr>
              <w:keepNext/>
              <w:keepLines/>
              <w:autoSpaceDE w:val="0"/>
              <w:autoSpaceDN w:val="0"/>
              <w:adjustRightInd w:val="0"/>
              <w:spacing w:before="60" w:after="60"/>
              <w:ind w:left="45" w:right="62"/>
              <w:rPr>
                <w:rFonts w:cs="Arial"/>
                <w:color w:val="000000"/>
                <w:szCs w:val="20"/>
              </w:rPr>
            </w:pPr>
            <w:r w:rsidRPr="00BA5ACC">
              <w:rPr>
                <w:rFonts w:cs="Arial"/>
                <w:color w:val="000000"/>
                <w:szCs w:val="20"/>
              </w:rPr>
              <w:t>D+180 dní</w:t>
            </w:r>
          </w:p>
        </w:tc>
      </w:tr>
      <w:tr w:rsidR="008732FA" w:rsidRPr="00FA614B" w14:paraId="2C3A145B" w14:textId="77777777" w:rsidTr="00FA614B">
        <w:tc>
          <w:tcPr>
            <w:tcW w:w="982" w:type="dxa"/>
          </w:tcPr>
          <w:p w14:paraId="33D2417E" w14:textId="77777777" w:rsidR="008732FA" w:rsidRPr="00FA614B" w:rsidRDefault="008732FA" w:rsidP="008732FA">
            <w:pPr>
              <w:keepNext/>
              <w:keepLines/>
              <w:autoSpaceDE w:val="0"/>
              <w:autoSpaceDN w:val="0"/>
              <w:adjustRightInd w:val="0"/>
              <w:spacing w:before="60" w:after="60"/>
              <w:ind w:left="45" w:right="62"/>
              <w:jc w:val="center"/>
              <w:rPr>
                <w:rFonts w:cs="Arial"/>
                <w:bCs/>
                <w:color w:val="000000"/>
                <w:szCs w:val="20"/>
              </w:rPr>
            </w:pPr>
            <w:r w:rsidRPr="00FA614B">
              <w:rPr>
                <w:rFonts w:cs="Arial"/>
                <w:bCs/>
                <w:color w:val="000000"/>
                <w:szCs w:val="20"/>
              </w:rPr>
              <w:t>E1.7</w:t>
            </w:r>
          </w:p>
        </w:tc>
        <w:tc>
          <w:tcPr>
            <w:tcW w:w="5637" w:type="dxa"/>
            <w:shd w:val="clear" w:color="auto" w:fill="auto"/>
          </w:tcPr>
          <w:p w14:paraId="24275F01" w14:textId="77777777" w:rsidR="008732FA" w:rsidRPr="00FA614B" w:rsidRDefault="008732FA" w:rsidP="008732FA">
            <w:pPr>
              <w:keepNext/>
              <w:keepLines/>
              <w:autoSpaceDE w:val="0"/>
              <w:autoSpaceDN w:val="0"/>
              <w:adjustRightInd w:val="0"/>
              <w:spacing w:before="60" w:after="60"/>
              <w:ind w:left="45" w:right="62"/>
              <w:rPr>
                <w:rFonts w:cs="Arial"/>
                <w:bCs/>
                <w:color w:val="000000"/>
                <w:szCs w:val="20"/>
              </w:rPr>
            </w:pPr>
            <w:r w:rsidRPr="00FA614B">
              <w:rPr>
                <w:rFonts w:cs="Arial"/>
                <w:bCs/>
                <w:color w:val="000000"/>
                <w:szCs w:val="20"/>
              </w:rPr>
              <w:t>Akceptační testy</w:t>
            </w:r>
          </w:p>
        </w:tc>
        <w:tc>
          <w:tcPr>
            <w:tcW w:w="2441" w:type="dxa"/>
            <w:shd w:val="clear" w:color="auto" w:fill="auto"/>
          </w:tcPr>
          <w:p w14:paraId="15745DAB" w14:textId="7A787F8C" w:rsidR="008732FA" w:rsidRPr="00FA614B" w:rsidRDefault="008732FA" w:rsidP="008732FA">
            <w:pPr>
              <w:keepNext/>
              <w:keepLines/>
              <w:autoSpaceDE w:val="0"/>
              <w:autoSpaceDN w:val="0"/>
              <w:adjustRightInd w:val="0"/>
              <w:spacing w:before="60" w:after="60"/>
              <w:ind w:left="45" w:right="62"/>
              <w:rPr>
                <w:rFonts w:cs="Arial"/>
                <w:color w:val="000000"/>
                <w:szCs w:val="20"/>
              </w:rPr>
            </w:pPr>
            <w:r w:rsidRPr="00BA5ACC">
              <w:rPr>
                <w:rFonts w:cs="Arial"/>
                <w:color w:val="000000"/>
                <w:szCs w:val="20"/>
              </w:rPr>
              <w:t>D+180 dní</w:t>
            </w:r>
          </w:p>
        </w:tc>
      </w:tr>
      <w:tr w:rsidR="00FA614B" w:rsidRPr="00FA614B" w14:paraId="67777607" w14:textId="77777777" w:rsidTr="00FA614B">
        <w:tc>
          <w:tcPr>
            <w:tcW w:w="9060" w:type="dxa"/>
            <w:gridSpan w:val="3"/>
            <w:shd w:val="clear" w:color="auto" w:fill="F2F2F2" w:themeFill="background1" w:themeFillShade="F2"/>
          </w:tcPr>
          <w:p w14:paraId="4B2BB97B" w14:textId="426E2FAB" w:rsidR="00FA614B" w:rsidRPr="00FA614B" w:rsidRDefault="00FA614B" w:rsidP="00FA614B">
            <w:pPr>
              <w:keepNext/>
              <w:keepLines/>
              <w:autoSpaceDE w:val="0"/>
              <w:autoSpaceDN w:val="0"/>
              <w:adjustRightInd w:val="0"/>
              <w:spacing w:before="60" w:after="60"/>
              <w:ind w:left="45" w:right="62"/>
              <w:rPr>
                <w:rFonts w:cs="Arial"/>
                <w:color w:val="000000"/>
                <w:szCs w:val="20"/>
              </w:rPr>
            </w:pPr>
            <w:r w:rsidRPr="00FA614B">
              <w:rPr>
                <w:rFonts w:cs="Arial"/>
                <w:b/>
                <w:bCs/>
                <w:szCs w:val="22"/>
              </w:rPr>
              <w:t xml:space="preserve">Etapa 2 - </w:t>
            </w:r>
            <w:r w:rsidR="009F0177">
              <w:rPr>
                <w:rFonts w:cs="Arial"/>
                <w:b/>
                <w:bCs/>
                <w:szCs w:val="22"/>
              </w:rPr>
              <w:t>P</w:t>
            </w:r>
            <w:r w:rsidRPr="00FA614B">
              <w:rPr>
                <w:rFonts w:cs="Arial"/>
                <w:b/>
                <w:bCs/>
                <w:szCs w:val="22"/>
              </w:rPr>
              <w:t>odpora provozu</w:t>
            </w:r>
          </w:p>
        </w:tc>
      </w:tr>
      <w:tr w:rsidR="00FA614B" w:rsidRPr="00FA614B" w14:paraId="19517225" w14:textId="77777777" w:rsidTr="00FA614B">
        <w:tc>
          <w:tcPr>
            <w:tcW w:w="982" w:type="dxa"/>
          </w:tcPr>
          <w:p w14:paraId="6CF7DC48" w14:textId="77777777" w:rsidR="00FA614B" w:rsidRPr="00FA614B" w:rsidRDefault="00FA614B" w:rsidP="00FA614B">
            <w:pPr>
              <w:keepNext/>
              <w:keepLines/>
              <w:autoSpaceDE w:val="0"/>
              <w:autoSpaceDN w:val="0"/>
              <w:adjustRightInd w:val="0"/>
              <w:spacing w:before="60" w:after="60"/>
              <w:ind w:left="45" w:right="62"/>
              <w:jc w:val="center"/>
              <w:rPr>
                <w:rFonts w:cs="Arial"/>
                <w:bCs/>
                <w:color w:val="000000"/>
                <w:szCs w:val="20"/>
              </w:rPr>
            </w:pPr>
            <w:r w:rsidRPr="00FA614B">
              <w:rPr>
                <w:rFonts w:cs="Arial"/>
                <w:bCs/>
                <w:color w:val="000000"/>
                <w:szCs w:val="20"/>
              </w:rPr>
              <w:t>E2.1</w:t>
            </w:r>
          </w:p>
        </w:tc>
        <w:tc>
          <w:tcPr>
            <w:tcW w:w="5637" w:type="dxa"/>
            <w:shd w:val="clear" w:color="auto" w:fill="auto"/>
          </w:tcPr>
          <w:p w14:paraId="7BCAAC04" w14:textId="77777777" w:rsidR="00FA614B" w:rsidRPr="00FA614B" w:rsidRDefault="00FA614B" w:rsidP="00FA614B">
            <w:pPr>
              <w:keepNext/>
              <w:keepLines/>
              <w:autoSpaceDE w:val="0"/>
              <w:autoSpaceDN w:val="0"/>
              <w:adjustRightInd w:val="0"/>
              <w:spacing w:before="60" w:after="60"/>
              <w:ind w:left="45" w:right="62"/>
              <w:rPr>
                <w:rFonts w:cs="Arial"/>
                <w:bCs/>
                <w:color w:val="000000"/>
                <w:szCs w:val="20"/>
              </w:rPr>
            </w:pPr>
            <w:r w:rsidRPr="00FA614B">
              <w:rPr>
                <w:rFonts w:cs="Arial"/>
                <w:bCs/>
                <w:color w:val="000000"/>
                <w:szCs w:val="20"/>
              </w:rPr>
              <w:t>Produkční provoz</w:t>
            </w:r>
          </w:p>
        </w:tc>
        <w:tc>
          <w:tcPr>
            <w:tcW w:w="2441" w:type="dxa"/>
            <w:shd w:val="clear" w:color="auto" w:fill="auto"/>
          </w:tcPr>
          <w:p w14:paraId="29360B04" w14:textId="77777777" w:rsidR="00FA614B" w:rsidRPr="00FA614B" w:rsidRDefault="00FA614B" w:rsidP="00FA614B">
            <w:pPr>
              <w:keepNext/>
              <w:keepLines/>
              <w:autoSpaceDE w:val="0"/>
              <w:autoSpaceDN w:val="0"/>
              <w:adjustRightInd w:val="0"/>
              <w:spacing w:before="60" w:after="60"/>
              <w:ind w:left="45" w:right="62"/>
              <w:rPr>
                <w:rFonts w:cs="Arial"/>
                <w:color w:val="000000"/>
                <w:szCs w:val="20"/>
              </w:rPr>
            </w:pPr>
            <w:r w:rsidRPr="00FA614B">
              <w:rPr>
                <w:rFonts w:cs="Arial"/>
                <w:color w:val="000000"/>
                <w:szCs w:val="20"/>
              </w:rPr>
              <w:t xml:space="preserve">Dle podmínek </w:t>
            </w:r>
            <w:proofErr w:type="spellStart"/>
            <w:r w:rsidRPr="00FA614B">
              <w:rPr>
                <w:rFonts w:cs="Arial"/>
                <w:color w:val="000000"/>
                <w:szCs w:val="20"/>
              </w:rPr>
              <w:t>SoP</w:t>
            </w:r>
            <w:proofErr w:type="spellEnd"/>
          </w:p>
        </w:tc>
      </w:tr>
    </w:tbl>
    <w:bookmarkEnd w:id="5"/>
    <w:bookmarkEnd w:id="6"/>
    <w:bookmarkEnd w:id="7"/>
    <w:p w14:paraId="130B3932" w14:textId="58C66864" w:rsidR="00FA614B" w:rsidRPr="00AE7E72" w:rsidRDefault="00FA614B" w:rsidP="00FA614B">
      <w:r>
        <w:t xml:space="preserve">Dodavatel </w:t>
      </w:r>
      <w:r w:rsidRPr="00AE7E72">
        <w:t>může dle svého uvážení výše uvedené maximální lhůty</w:t>
      </w:r>
      <w:r>
        <w:t xml:space="preserve"> </w:t>
      </w:r>
      <w:r w:rsidRPr="00AE7E72">
        <w:t>trvání</w:t>
      </w:r>
      <w:r>
        <w:t xml:space="preserve"> v rámci Etapy 1</w:t>
      </w:r>
      <w:r w:rsidRPr="00AE7E72">
        <w:t xml:space="preserve"> zkrátit při dodržení všech částí předmětu plnění a bez snížení kvality dodávaných služeb. </w:t>
      </w:r>
    </w:p>
    <w:p w14:paraId="309DECA3" w14:textId="0FDE16AF" w:rsidR="00FA614B" w:rsidRPr="00AE7E72" w:rsidRDefault="00FA614B" w:rsidP="00FA614B">
      <w:r w:rsidRPr="00AE7E72">
        <w:t xml:space="preserve">Maximální lhůty trvání nesmí </w:t>
      </w:r>
      <w:r>
        <w:t xml:space="preserve">dodavatel </w:t>
      </w:r>
      <w:r w:rsidRPr="00AE7E72">
        <w:t>při tvorbě detailního harmonogramu prodloužit.</w:t>
      </w:r>
    </w:p>
    <w:p w14:paraId="358BE8E8" w14:textId="0359C50C" w:rsidR="00FA614B" w:rsidRPr="00AE7E72" w:rsidRDefault="00FA614B" w:rsidP="00FA614B">
      <w:r>
        <w:t xml:space="preserve">Dodavatel </w:t>
      </w:r>
      <w:r w:rsidRPr="00AE7E72">
        <w:t xml:space="preserve">uvede závazný harmonogram plnění ve své nabídce a zároveň v návrhu </w:t>
      </w:r>
      <w:r>
        <w:t>S</w:t>
      </w:r>
      <w:r w:rsidRPr="00AE7E72">
        <w:t>mlouvy o dílo.</w:t>
      </w:r>
    </w:p>
    <w:p w14:paraId="3C67E22A" w14:textId="01C4B120" w:rsidR="00FA614B" w:rsidRDefault="00FA614B" w:rsidP="00FA614B">
      <w:r>
        <w:t xml:space="preserve">Dodavatel </w:t>
      </w:r>
      <w:r w:rsidRPr="00AE7E72">
        <w:t>uvede potřebnou součinnost zadavatele pro splnění harmonogramu plnění ve své nabídce.</w:t>
      </w:r>
    </w:p>
    <w:p w14:paraId="4C509B3C" w14:textId="77777777" w:rsidR="009F0177" w:rsidRPr="00AE7E72" w:rsidRDefault="009F0177" w:rsidP="00FA614B"/>
    <w:p w14:paraId="723B2E87" w14:textId="77777777" w:rsidR="00FA614B" w:rsidRPr="00AE7E72" w:rsidRDefault="00FA614B" w:rsidP="00FA614B">
      <w:pPr>
        <w:pStyle w:val="Nadpis2"/>
      </w:pPr>
      <w:r w:rsidRPr="00AE7E72">
        <w:t>Požadavky na školení</w:t>
      </w:r>
    </w:p>
    <w:p w14:paraId="6374F2AB" w14:textId="755CA15D" w:rsidR="00FA614B" w:rsidRPr="00AE7E72" w:rsidRDefault="00FE176D" w:rsidP="00FA614B">
      <w:r>
        <w:t xml:space="preserve">Dodavatel </w:t>
      </w:r>
      <w:r w:rsidR="00FA614B" w:rsidRPr="00AE7E72">
        <w:t xml:space="preserve">zajistí školení pracovníků </w:t>
      </w:r>
      <w:r>
        <w:t>z</w:t>
      </w:r>
      <w:r w:rsidR="00FA614B" w:rsidRPr="00AE7E72">
        <w:t>adavatele –</w:t>
      </w:r>
      <w:r w:rsidR="00FA614B">
        <w:t xml:space="preserve"> </w:t>
      </w:r>
      <w:r w:rsidR="00FA614B" w:rsidRPr="00AE7E72">
        <w:t>administrátorů</w:t>
      </w:r>
      <w:r w:rsidR="00FA614B">
        <w:t xml:space="preserve"> a uživatelů</w:t>
      </w:r>
      <w:r w:rsidR="00FA614B" w:rsidRPr="00AE7E72">
        <w:t xml:space="preserve"> – na zařízení a systémy, dodávané v rámci této veřejné zakázky, a to minimálně v rozsahu předávané provozní dokumentace. </w:t>
      </w:r>
    </w:p>
    <w:p w14:paraId="188E6D41" w14:textId="1A214244" w:rsidR="00FA614B" w:rsidRPr="00AE7E72" w:rsidRDefault="00FA614B" w:rsidP="00FA614B">
      <w:r w:rsidRPr="00AE7E72">
        <w:t xml:space="preserve">Školení zajistí seznámení pracovníků </w:t>
      </w:r>
      <w:r w:rsidR="00FE176D">
        <w:t>z</w:t>
      </w:r>
      <w:r w:rsidRPr="00AE7E72">
        <w:t xml:space="preserve">adavatele se všemi podstatnými částmi díla v rozsahu potřebném pro provoz, údržbu a identifikaci nestandardních stavů systému a jejich příčin a pracovníkům bude vystaveno osvědčení o školení s uvedením rozsahu školení. </w:t>
      </w:r>
      <w:r>
        <w:t>Budou provedena tato školení:</w:t>
      </w:r>
    </w:p>
    <w:p w14:paraId="2B021601" w14:textId="4470F8B1" w:rsidR="00FA614B" w:rsidRPr="008730CC" w:rsidRDefault="00FA614B" w:rsidP="000E7C16">
      <w:pPr>
        <w:pStyle w:val="Odstavecseseznamem"/>
        <w:numPr>
          <w:ilvl w:val="0"/>
          <w:numId w:val="22"/>
        </w:numPr>
        <w:ind w:left="714" w:hanging="357"/>
        <w:contextualSpacing w:val="0"/>
      </w:pPr>
      <w:r>
        <w:t>Školení administrátorů – minimální</w:t>
      </w:r>
      <w:r w:rsidRPr="00AE7E72">
        <w:t xml:space="preserve"> rozsah </w:t>
      </w:r>
      <w:r w:rsidRPr="008730CC">
        <w:t xml:space="preserve">školení je </w:t>
      </w:r>
      <w:r w:rsidR="001447CF">
        <w:t>2</w:t>
      </w:r>
      <w:r w:rsidRPr="008730CC">
        <w:t xml:space="preserve"> hodin</w:t>
      </w:r>
      <w:r w:rsidR="001447CF">
        <w:t>y</w:t>
      </w:r>
      <w:r w:rsidRPr="008730CC">
        <w:t xml:space="preserve">, předpokládá se účast max. 10 účastníků, školení bude probíhat v sídle </w:t>
      </w:r>
      <w:r w:rsidR="00FE176D">
        <w:t>z</w:t>
      </w:r>
      <w:r w:rsidRPr="008730CC">
        <w:t>adavatele</w:t>
      </w:r>
      <w:r w:rsidR="00925F90">
        <w:t>, případně online formou</w:t>
      </w:r>
      <w:r w:rsidRPr="008730CC">
        <w:t xml:space="preserve">. </w:t>
      </w:r>
    </w:p>
    <w:p w14:paraId="0A12F178" w14:textId="3435A119" w:rsidR="00FA614B" w:rsidRDefault="00FA614B" w:rsidP="001447CF">
      <w:pPr>
        <w:pStyle w:val="Odstavecseseznamem"/>
        <w:numPr>
          <w:ilvl w:val="0"/>
          <w:numId w:val="22"/>
        </w:numPr>
        <w:ind w:left="714" w:hanging="357"/>
        <w:contextualSpacing w:val="0"/>
      </w:pPr>
      <w:r w:rsidRPr="008730CC">
        <w:t xml:space="preserve">Školení uživatelů – minimální rozsah školení je </w:t>
      </w:r>
      <w:r w:rsidR="001447CF">
        <w:t>2</w:t>
      </w:r>
      <w:r w:rsidRPr="008730CC">
        <w:t xml:space="preserve"> hodiny</w:t>
      </w:r>
      <w:r w:rsidR="007F020A">
        <w:t xml:space="preserve">, </w:t>
      </w:r>
      <w:r w:rsidR="007F020A" w:rsidRPr="008730CC">
        <w:t>školení bude probíhat v</w:t>
      </w:r>
      <w:r w:rsidR="007F020A">
        <w:t> </w:t>
      </w:r>
      <w:r w:rsidR="007F020A" w:rsidRPr="008730CC">
        <w:t xml:space="preserve">sídle </w:t>
      </w:r>
      <w:r w:rsidR="007F020A">
        <w:t>z</w:t>
      </w:r>
      <w:r w:rsidR="007F020A" w:rsidRPr="008730CC">
        <w:t>adavatele</w:t>
      </w:r>
      <w:r w:rsidR="007F020A">
        <w:t>, případně online formou</w:t>
      </w:r>
      <w:r w:rsidR="001447CF">
        <w:t xml:space="preserve">, </w:t>
      </w:r>
      <w:r w:rsidR="007F020A">
        <w:t>předpokládá se účast max. 20 účastníků</w:t>
      </w:r>
      <w:r w:rsidR="001447CF">
        <w:t>/ školení. R</w:t>
      </w:r>
      <w:r w:rsidR="007F020A" w:rsidRPr="007F020A">
        <w:t xml:space="preserve">ozsah školení bude dán v rozsahu </w:t>
      </w:r>
      <w:r w:rsidR="001447CF">
        <w:t>komodit</w:t>
      </w:r>
      <w:r w:rsidR="007F020A" w:rsidRPr="007F020A">
        <w:t xml:space="preserve">, která daná osoba bude využívat </w:t>
      </w:r>
      <w:r w:rsidR="007F020A">
        <w:t xml:space="preserve">– </w:t>
      </w:r>
      <w:r w:rsidR="007F020A" w:rsidRPr="007F020A">
        <w:t>školení zajistí proškolení osob na úrovni zajišťující běžnou práci v dané agendě</w:t>
      </w:r>
      <w:r w:rsidR="001447CF">
        <w:t>/komoditě</w:t>
      </w:r>
      <w:r w:rsidR="007F020A">
        <w:t>.</w:t>
      </w:r>
    </w:p>
    <w:p w14:paraId="3674364A" w14:textId="51583E92" w:rsidR="00FA614B" w:rsidRDefault="00FA614B" w:rsidP="00FA614B">
      <w:r>
        <w:t xml:space="preserve">S ohledem na pandemii COVID-19 musí být formát školení připraven jak pro prezenční výuku, tak pro možnost provedení školení elektronicky (vzdálenou formou) např. pomocí MS Teams nebo jiných elektronických prostředí pro výuku. Formát školení bude zvolen zadavatelem nejpozději měsíc před realizací školení, a to podle aktuálního stavu pandemie a dle doporučení relevantních orgánů </w:t>
      </w:r>
      <w:r>
        <w:lastRenderedPageBreak/>
        <w:t>(Ministerstvo zdravotnictví ČR, Hygienická stanice atp.).</w:t>
      </w:r>
      <w:r w:rsidR="007F020A">
        <w:t xml:space="preserve"> V případě školení provedeného online formou si zadavatel vyhrazuje právo provést záznam takového školení a pořízený záznam dále používat pro svou potřebu (např. pro doškolování nových zaměstnanců).</w:t>
      </w:r>
    </w:p>
    <w:p w14:paraId="0C8EA8AB" w14:textId="77777777" w:rsidR="009F0177" w:rsidRPr="00AE7E72" w:rsidRDefault="009F0177" w:rsidP="00FA614B"/>
    <w:p w14:paraId="54E61737" w14:textId="77777777" w:rsidR="00FE176D" w:rsidRPr="004A5821" w:rsidRDefault="00FE176D" w:rsidP="00FE176D">
      <w:pPr>
        <w:pStyle w:val="Nadpis2"/>
      </w:pPr>
      <w:r w:rsidRPr="00087E3F">
        <w:t>Požadavky na testovací prostředí</w:t>
      </w:r>
    </w:p>
    <w:p w14:paraId="1A1584BB" w14:textId="4A34F912" w:rsidR="00FE176D" w:rsidRPr="004A5821" w:rsidRDefault="00FE176D" w:rsidP="00FE176D">
      <w:r w:rsidRPr="004A5821">
        <w:t xml:space="preserve">Zkušební provoz bude proveden klíčovými uživateli a administrátory na testovacím prostředí, které zajistí </w:t>
      </w:r>
      <w:r>
        <w:t>dodavatel</w:t>
      </w:r>
      <w:r w:rsidRPr="004A5821">
        <w:t>. Zkušební provoz bude proveden v termínech dle harmonogramu projektu, po</w:t>
      </w:r>
      <w:r>
        <w:t> </w:t>
      </w:r>
      <w:r w:rsidRPr="004A5821">
        <w:t>jednotlivých oblastech implementovaného řešení.</w:t>
      </w:r>
    </w:p>
    <w:p w14:paraId="4691B50D" w14:textId="77777777" w:rsidR="00FE176D" w:rsidRPr="004A5821" w:rsidRDefault="00FE176D" w:rsidP="00FE176D">
      <w:r w:rsidRPr="004A5821">
        <w:t xml:space="preserve">V průběhu zkušebního provozu klíčoví uživatelé a administrátoři průběžně předávají případné připomínky. </w:t>
      </w:r>
    </w:p>
    <w:p w14:paraId="5EDB99A0" w14:textId="63E1C453" w:rsidR="00FE176D" w:rsidRPr="004A5821" w:rsidRDefault="00FE176D" w:rsidP="00FE176D">
      <w:r>
        <w:t>Dodavatel</w:t>
      </w:r>
      <w:r w:rsidRPr="004A5821">
        <w:t xml:space="preserve"> připomínky v průběhu zkušebního provozu průběžně řeší a o způsobu řešení </w:t>
      </w:r>
      <w:r>
        <w:t>z</w:t>
      </w:r>
      <w:r w:rsidRPr="004A5821">
        <w:t>adavatele informuje.</w:t>
      </w:r>
    </w:p>
    <w:p w14:paraId="29A16A2A" w14:textId="0BEFB6C6" w:rsidR="00FE176D" w:rsidRPr="004A5821" w:rsidRDefault="00FE176D" w:rsidP="00FE176D">
      <w:r w:rsidRPr="004A5821">
        <w:t>Konečný seznam připomínek z</w:t>
      </w:r>
      <w:r>
        <w:t>e</w:t>
      </w:r>
      <w:r w:rsidRPr="004A5821">
        <w:t xml:space="preserve"> zkušebního provozu </w:t>
      </w:r>
      <w:r>
        <w:t>z</w:t>
      </w:r>
      <w:r w:rsidRPr="004A5821">
        <w:t>adavatel předá před termínem ukončení zkušebního provozu stanoveném harmonogramem projektu.</w:t>
      </w:r>
    </w:p>
    <w:p w14:paraId="30729B56" w14:textId="3DC250DC" w:rsidR="00FE176D" w:rsidRDefault="00FE176D" w:rsidP="00FE176D">
      <w:r w:rsidRPr="004A5821">
        <w:t xml:space="preserve">Předané připomínky budou oklasifikovány (Chyba/Požadavek) a </w:t>
      </w:r>
      <w:r>
        <w:t>dodavatel</w:t>
      </w:r>
      <w:r w:rsidRPr="004A5821">
        <w:t xml:space="preserve"> k nim doplnění způsob vypořádání. Připomínka typu Chyba bude uplatněna výlučně v případech, ve kterých nebude aplikace umožňovat uživateli zpracovávanou činnost dokončit. Připomínky označené jako Chyba budou </w:t>
      </w:r>
      <w:r>
        <w:t>dodavatel</w:t>
      </w:r>
      <w:r w:rsidRPr="004A5821">
        <w:t xml:space="preserve">em odstraněny do konce fáze testovacího provozu. Připomínky označené Požadavek budou </w:t>
      </w:r>
      <w:r>
        <w:t>dodavatel</w:t>
      </w:r>
      <w:r w:rsidRPr="004A5821">
        <w:t>em doplněny o způsob, pracnost a termín řešení.</w:t>
      </w:r>
    </w:p>
    <w:p w14:paraId="37BDF00F" w14:textId="77777777" w:rsidR="00FE176D" w:rsidRDefault="00FE176D" w:rsidP="00FE176D">
      <w:r>
        <w:t xml:space="preserve">V případě incidentu kategorie A nebo B musí uchazeč zajistit odstranění závady do: </w:t>
      </w:r>
    </w:p>
    <w:p w14:paraId="0CAF43AC" w14:textId="77777777" w:rsidR="00FE176D" w:rsidRDefault="00FE176D" w:rsidP="000E7C16">
      <w:pPr>
        <w:pStyle w:val="Odstavecseseznamem"/>
        <w:numPr>
          <w:ilvl w:val="0"/>
          <w:numId w:val="23"/>
        </w:numPr>
        <w:ind w:left="714" w:hanging="357"/>
        <w:contextualSpacing w:val="0"/>
      </w:pPr>
      <w:r>
        <w:t>Kategorie A – do dvou pracovní dní</w:t>
      </w:r>
    </w:p>
    <w:p w14:paraId="3AC3D741" w14:textId="77777777" w:rsidR="00FE176D" w:rsidRDefault="00FE176D" w:rsidP="000E7C16">
      <w:pPr>
        <w:pStyle w:val="Odstavecseseznamem"/>
        <w:numPr>
          <w:ilvl w:val="0"/>
          <w:numId w:val="23"/>
        </w:numPr>
        <w:ind w:left="714" w:hanging="357"/>
        <w:contextualSpacing w:val="0"/>
      </w:pPr>
      <w:r>
        <w:t>Kategorie B – do pěti pracovních dní</w:t>
      </w:r>
    </w:p>
    <w:p w14:paraId="0625B42E" w14:textId="77777777" w:rsidR="00FE176D" w:rsidRDefault="00FE176D" w:rsidP="00FE176D">
      <w:r>
        <w:t xml:space="preserve">Po uplynutí lhůty pro zkušební provoz bude dílo předáno </w:t>
      </w:r>
      <w:r w:rsidRPr="00AE7E72">
        <w:t>do provozu</w:t>
      </w:r>
      <w:r>
        <w:t xml:space="preserve"> provedením akceptačních testů.</w:t>
      </w:r>
    </w:p>
    <w:p w14:paraId="2DC2C068" w14:textId="77777777" w:rsidR="00777DBE" w:rsidRPr="004A5821" w:rsidRDefault="00777DBE" w:rsidP="00FE176D"/>
    <w:p w14:paraId="753E9537" w14:textId="77777777" w:rsidR="00FE176D" w:rsidRPr="00AE7E72" w:rsidRDefault="00FE176D" w:rsidP="00FE176D">
      <w:pPr>
        <w:pStyle w:val="Nadpis2"/>
      </w:pPr>
      <w:r w:rsidRPr="00FE176D">
        <w:t>Požadavky</w:t>
      </w:r>
      <w:r w:rsidRPr="00AE7E72">
        <w:t xml:space="preserve"> na provedení akceptačních testů</w:t>
      </w:r>
      <w:r>
        <w:t xml:space="preserve"> </w:t>
      </w:r>
      <w:r w:rsidRPr="00AE7E72">
        <w:t xml:space="preserve">a přechod do </w:t>
      </w:r>
      <w:r>
        <w:t>zkušebního</w:t>
      </w:r>
      <w:r w:rsidRPr="00AE7E72">
        <w:t xml:space="preserve"> provozu</w:t>
      </w:r>
    </w:p>
    <w:p w14:paraId="7CEF55BD" w14:textId="77777777" w:rsidR="00FE176D" w:rsidRPr="004A5821" w:rsidRDefault="00FE176D" w:rsidP="00FE176D">
      <w:r>
        <w:t>Dodavatel</w:t>
      </w:r>
      <w:r w:rsidRPr="004A5821">
        <w:t xml:space="preserve"> navrhne způsob a provedení akceptačních testů. </w:t>
      </w:r>
    </w:p>
    <w:p w14:paraId="04B9301F" w14:textId="77777777" w:rsidR="00FE176D" w:rsidRPr="004A5821" w:rsidRDefault="00FE176D" w:rsidP="00FE176D">
      <w:r w:rsidRPr="004A5821">
        <w:t>Součástí akceptačních testů musí být minimálně:</w:t>
      </w:r>
    </w:p>
    <w:p w14:paraId="4F77BD7F" w14:textId="3464F676" w:rsidR="00FE176D" w:rsidRPr="004A5821" w:rsidRDefault="00FE176D" w:rsidP="000E7C16">
      <w:pPr>
        <w:pStyle w:val="Odstavecseseznamem"/>
        <w:numPr>
          <w:ilvl w:val="1"/>
          <w:numId w:val="21"/>
        </w:numPr>
      </w:pPr>
      <w:r w:rsidRPr="004A5821">
        <w:t>Ověření (otestování) veškerých požadovaných funkcí a parametrů všech dodávaných komodit,</w:t>
      </w:r>
    </w:p>
    <w:p w14:paraId="3FAD9FBB" w14:textId="77777777" w:rsidR="00FE176D" w:rsidRPr="004A5821" w:rsidRDefault="00FE176D" w:rsidP="00FE176D">
      <w:r w:rsidRPr="004A5821">
        <w:t>O provedení akceptace a jejím výsledku musí být vyhotoven písemný protokol.</w:t>
      </w:r>
    </w:p>
    <w:p w14:paraId="02D5A6AC" w14:textId="77777777" w:rsidR="00FE176D" w:rsidRPr="004A5821" w:rsidRDefault="00FE176D" w:rsidP="00FE176D">
      <w:r>
        <w:t>Dodavatel</w:t>
      </w:r>
      <w:r w:rsidRPr="004A5821">
        <w:t xml:space="preserve"> zajistí</w:t>
      </w:r>
      <w:r w:rsidRPr="00417BD4">
        <w:t xml:space="preserve"> podporu zkušební provozu</w:t>
      </w:r>
      <w:r w:rsidRPr="004A5821">
        <w:t xml:space="preserve"> v délce minimálně </w:t>
      </w:r>
      <w:r>
        <w:t>8</w:t>
      </w:r>
      <w:r w:rsidRPr="004A5821">
        <w:t xml:space="preserve"> týdnů takto:</w:t>
      </w:r>
    </w:p>
    <w:p w14:paraId="5CC82829" w14:textId="77777777" w:rsidR="00FE176D" w:rsidRDefault="00FE176D" w:rsidP="000E7C16">
      <w:pPr>
        <w:pStyle w:val="Odstavecseseznamem"/>
        <w:numPr>
          <w:ilvl w:val="1"/>
          <w:numId w:val="20"/>
        </w:numPr>
        <w:ind w:left="714" w:hanging="357"/>
        <w:contextualSpacing w:val="0"/>
      </w:pPr>
      <w:r w:rsidRPr="004A5821">
        <w:t xml:space="preserve">fyzická přítomnost (v sídle zadavatele) jednoho specialisty dodavatele jeden den </w:t>
      </w:r>
      <w:r>
        <w:t xml:space="preserve">jednou za 14 dní </w:t>
      </w:r>
      <w:r w:rsidRPr="004A5821">
        <w:t>po dobu zkušebního provozu (konkrétní termíny budou upřesněny před zahájením zkušebního provozu),</w:t>
      </w:r>
    </w:p>
    <w:p w14:paraId="7EC50AA6" w14:textId="2E145330" w:rsidR="00FE176D" w:rsidRPr="004A5821" w:rsidRDefault="00FE176D" w:rsidP="000E7C16">
      <w:pPr>
        <w:pStyle w:val="Odstavecseseznamem"/>
        <w:numPr>
          <w:ilvl w:val="1"/>
          <w:numId w:val="20"/>
        </w:numPr>
        <w:ind w:left="714" w:hanging="357"/>
        <w:contextualSpacing w:val="0"/>
      </w:pPr>
      <w:r w:rsidRPr="004A5821">
        <w:t xml:space="preserve">možnost technické podpory formou telefonické konzultace se specialistou dodavatele s dostupností maximálně </w:t>
      </w:r>
      <w:r>
        <w:t>4</w:t>
      </w:r>
      <w:r w:rsidRPr="004A5821">
        <w:t xml:space="preserve"> hodin od nahlášení požadavku v pracovní dny v době od 8:00 do 1</w:t>
      </w:r>
      <w:r>
        <w:t>7</w:t>
      </w:r>
      <w:r w:rsidRPr="004A5821">
        <w:t>:00 hod v termínech bez fyzické přítomnosti specialisty dodavatele v sídle zadavatele s to až do ukončení zkušebního provozu,</w:t>
      </w:r>
    </w:p>
    <w:p w14:paraId="68367B03" w14:textId="77777777" w:rsidR="00FE176D" w:rsidRPr="004A5821" w:rsidRDefault="00FE176D" w:rsidP="00FE176D">
      <w:r w:rsidRPr="004A5821">
        <w:t xml:space="preserve">Přechodem do ostrého provozu se rozumí okamžik úspěšné akceptace díla včetně vypořádání všech vad a nedodělků a přesun akceptovaného nastavení systému z testovacího do produktivního prostředí, tj. do ostrého provozu. </w:t>
      </w:r>
    </w:p>
    <w:p w14:paraId="0D1A13E9" w14:textId="77777777" w:rsidR="00FE176D" w:rsidRPr="004A5821" w:rsidRDefault="00FE176D" w:rsidP="00FE176D">
      <w:r w:rsidRPr="004A5821">
        <w:t xml:space="preserve">Podkladem k akceptaci dodávaného řešení je potvrzený výsledek akceptačního testu funkcionality za jednotlivé části dodávaného systému, provedeného v závěru testovacího provozu a přehled zapracování připomínek typu Chyba. </w:t>
      </w:r>
    </w:p>
    <w:p w14:paraId="3C7A81C0" w14:textId="77777777" w:rsidR="00FE176D" w:rsidRPr="004A5821" w:rsidRDefault="00FE176D" w:rsidP="00FE176D">
      <w:r w:rsidRPr="004A5821">
        <w:t xml:space="preserve">Akceptační řízení dodávaného řešení bude provedeno v termínech dle harmonogramu projektu. </w:t>
      </w:r>
    </w:p>
    <w:p w14:paraId="42D06DC1" w14:textId="77777777" w:rsidR="00FE176D" w:rsidRPr="004A5821" w:rsidRDefault="00FE176D" w:rsidP="00FE176D">
      <w:r w:rsidRPr="004A5821">
        <w:lastRenderedPageBreak/>
        <w:t>Před zahájením produkčního provozu zajistí proškolení administrátoři zadavatele nastavení přístupových oprávnění pro koncové uživatele na produktivním prostředí.</w:t>
      </w:r>
    </w:p>
    <w:p w14:paraId="510F5822" w14:textId="77777777" w:rsidR="00FE176D" w:rsidRPr="004A5821" w:rsidRDefault="00FE176D" w:rsidP="00FE176D">
      <w:r w:rsidRPr="004A5821">
        <w:t xml:space="preserve">Zajištění podpory po spuštění ostrého provozu v délce </w:t>
      </w:r>
      <w:r>
        <w:t>4</w:t>
      </w:r>
      <w:r w:rsidRPr="004A5821">
        <w:t xml:space="preserve"> týdnů takto:</w:t>
      </w:r>
    </w:p>
    <w:p w14:paraId="54B4F415" w14:textId="19E93CB3" w:rsidR="00FE176D" w:rsidRPr="004A5821" w:rsidRDefault="00FE176D" w:rsidP="000E7C16">
      <w:pPr>
        <w:pStyle w:val="Odstavecseseznamem"/>
        <w:numPr>
          <w:ilvl w:val="1"/>
          <w:numId w:val="19"/>
        </w:numPr>
        <w:ind w:left="714" w:hanging="357"/>
        <w:contextualSpacing w:val="0"/>
      </w:pPr>
      <w:r w:rsidRPr="004A5821">
        <w:t xml:space="preserve">fyzická přítomnost v sídle zadavatele jednoho specialisty dodavatele jeden den v každém týdnu, </w:t>
      </w:r>
    </w:p>
    <w:p w14:paraId="3D049A67" w14:textId="0609016D" w:rsidR="00FE176D" w:rsidRDefault="00FE176D" w:rsidP="000E7C16">
      <w:pPr>
        <w:pStyle w:val="Odstavecseseznamem"/>
        <w:numPr>
          <w:ilvl w:val="1"/>
          <w:numId w:val="19"/>
        </w:numPr>
        <w:ind w:left="714" w:hanging="357"/>
        <w:contextualSpacing w:val="0"/>
      </w:pPr>
      <w:r w:rsidRPr="004A5821">
        <w:t xml:space="preserve">možnost technické podpory formou telefonické konzultace se specialistou dodavatele s dostupností maximálně </w:t>
      </w:r>
      <w:r>
        <w:t>4</w:t>
      </w:r>
      <w:r w:rsidRPr="004A5821">
        <w:t xml:space="preserve"> hodin od nahlášení požadavku v pracovní dny v době od 8:00 do 1</w:t>
      </w:r>
      <w:r>
        <w:t>7</w:t>
      </w:r>
      <w:r w:rsidRPr="004A5821">
        <w:t>:00 hod. v termínech bez fyzické přítomnosti specialisty dodavatele v sídle zadavatele.</w:t>
      </w:r>
    </w:p>
    <w:p w14:paraId="2D99F7B2" w14:textId="77777777" w:rsidR="009F0177" w:rsidRPr="004A5821" w:rsidRDefault="009F0177" w:rsidP="009F0177"/>
    <w:p w14:paraId="1005C622" w14:textId="77777777" w:rsidR="00FE176D" w:rsidRPr="00AE7E72" w:rsidRDefault="00FE176D" w:rsidP="00FE176D">
      <w:pPr>
        <w:pStyle w:val="Nadpis2"/>
      </w:pPr>
      <w:r w:rsidRPr="00AE7E72">
        <w:t xml:space="preserve">Požadavky na </w:t>
      </w:r>
      <w:r>
        <w:t>provozní dokumentaci</w:t>
      </w:r>
    </w:p>
    <w:p w14:paraId="488EC6B7" w14:textId="65DDD200" w:rsidR="00FE176D" w:rsidRDefault="00FE176D" w:rsidP="00FE176D">
      <w:r>
        <w:t xml:space="preserve">Dodavatel </w:t>
      </w:r>
      <w:r w:rsidRPr="00EA7A8B">
        <w:t xml:space="preserve">zpracuje provozní dokumentaci, která bude detailně popisovat konfiguraci zhotoveného díla a jeho vazby na stávající systémy. </w:t>
      </w:r>
    </w:p>
    <w:p w14:paraId="286A3572" w14:textId="77777777" w:rsidR="00FE176D" w:rsidRPr="00FE1D04" w:rsidRDefault="00FE176D" w:rsidP="00FE176D">
      <w:r>
        <w:t xml:space="preserve">Provozní dokumentace bude vycházet z prováděcí dokumentace, která bude před předáním do provozu </w:t>
      </w:r>
      <w:r w:rsidRPr="00FE1D04">
        <w:t>aktualizovaná dle skutečného stavu.</w:t>
      </w:r>
    </w:p>
    <w:p w14:paraId="0D911D86" w14:textId="77777777" w:rsidR="00FE176D" w:rsidRPr="00FE1D04" w:rsidRDefault="00FE176D" w:rsidP="00FE176D">
      <w:r w:rsidRPr="00FE1D04">
        <w:t>Součástí provozní dokumentace bude popis úkonů doporučené údržby a specifikace intervalů jejích provádění a další dokumentaci v rozsahu stanoveném v prováděcí dokumentaci.</w:t>
      </w:r>
    </w:p>
    <w:p w14:paraId="13265F9F" w14:textId="17C390F0" w:rsidR="00FE176D" w:rsidRPr="006304F9" w:rsidRDefault="00FE176D" w:rsidP="00FE176D">
      <w:r>
        <w:t xml:space="preserve">Účastník </w:t>
      </w:r>
      <w:r w:rsidRPr="00FE1D04">
        <w:t xml:space="preserve">uvede do nabídky kompletní podmínky pro zajištění provozu dodaných </w:t>
      </w:r>
      <w:r>
        <w:t>prvků, včetně požadavků na aktualizace software (maintenance).</w:t>
      </w:r>
    </w:p>
    <w:p w14:paraId="23C6FDB3" w14:textId="77777777" w:rsidR="00FA614B" w:rsidRDefault="00FA614B" w:rsidP="00FA614B"/>
    <w:p w14:paraId="59B446B0" w14:textId="2664E7F5" w:rsidR="00FE176D" w:rsidRPr="00590EFE" w:rsidRDefault="009F0177" w:rsidP="00FE176D">
      <w:pPr>
        <w:pStyle w:val="Nadpis1"/>
      </w:pPr>
      <w:r w:rsidRPr="00590EFE">
        <w:t xml:space="preserve">POŽADAVKY NA ZÁRUKY </w:t>
      </w:r>
    </w:p>
    <w:p w14:paraId="7408BC01" w14:textId="77777777" w:rsidR="00FE176D" w:rsidRPr="004A5821" w:rsidRDefault="00FE176D" w:rsidP="00FE176D">
      <w:pPr>
        <w:pStyle w:val="Nadpis2"/>
      </w:pPr>
      <w:r w:rsidRPr="004A5821">
        <w:t>Požadavky na záruky a servisní podmínky</w:t>
      </w:r>
    </w:p>
    <w:p w14:paraId="0E216C0D" w14:textId="77777777" w:rsidR="00FE176D" w:rsidRPr="004A5821" w:rsidRDefault="00FE176D" w:rsidP="00FE176D">
      <w:r w:rsidRPr="004A5821">
        <w:t xml:space="preserve">Zadavatel uvádí u jednotlivých komodit požadovanou min. záruku, popř. podporu. Uváděné parametry byly průzkumem trhu zjištěny jako standardní, tj. poskytovány výrobci jako součást standardní dodávky a ceny.  Není-li uvedeno u konkrétní komponenty jinak, požaduje zadavatel záruku minimálně v délce 24 měsíců. </w:t>
      </w:r>
    </w:p>
    <w:p w14:paraId="333AE19A" w14:textId="77777777" w:rsidR="00FE176D" w:rsidRPr="004A5821" w:rsidRDefault="00FE176D" w:rsidP="00FE176D">
      <w:r>
        <w:t>Dodavatel</w:t>
      </w:r>
      <w:r w:rsidRPr="004A5821">
        <w:t xml:space="preserve"> ve své nabídce výslovně uvede všechny podmínky záruk a poskytované služby v době platnosti 24měsíční záruky od doby předání dodávaného systému jako celku do plného produktivního provozu. </w:t>
      </w:r>
    </w:p>
    <w:p w14:paraId="74ED913B" w14:textId="77777777" w:rsidR="00FE176D" w:rsidRPr="004A5821" w:rsidRDefault="00FE176D" w:rsidP="00FE176D">
      <w:r w:rsidRPr="004A5821">
        <w:t>Veškeré opravy zjištěných vad po dobu záruky budou provedeny bez dalších nákladů pro zadavatele.  Vadou se rozumí stav, který je v rozporu:</w:t>
      </w:r>
    </w:p>
    <w:p w14:paraId="58E97ECA" w14:textId="14AD3E58" w:rsidR="00FE176D" w:rsidRPr="004A5821" w:rsidRDefault="00FE176D" w:rsidP="000E7C16">
      <w:pPr>
        <w:pStyle w:val="Odstavecseseznamem"/>
        <w:numPr>
          <w:ilvl w:val="0"/>
          <w:numId w:val="24"/>
        </w:numPr>
        <w:ind w:left="714" w:hanging="357"/>
        <w:contextualSpacing w:val="0"/>
      </w:pPr>
      <w:r w:rsidRPr="004A5821">
        <w:t xml:space="preserve">se standardní funkcionalitou systému implementovaného na produkčním prostředí a tento rozpor je vůči uživatelské dokumentaci systému, </w:t>
      </w:r>
    </w:p>
    <w:p w14:paraId="10B1FD0D" w14:textId="5C32C87B" w:rsidR="00FE176D" w:rsidRPr="004A5821" w:rsidRDefault="00FE176D" w:rsidP="000E7C16">
      <w:pPr>
        <w:pStyle w:val="Odstavecseseznamem"/>
        <w:numPr>
          <w:ilvl w:val="0"/>
          <w:numId w:val="24"/>
        </w:numPr>
        <w:ind w:left="714" w:hanging="357"/>
        <w:contextualSpacing w:val="0"/>
      </w:pPr>
      <w:r w:rsidRPr="004A5821">
        <w:t>s funkcionalitou definovanou ve smlouvě o dílo (jejích přílohách), případně v akceptačním protokolu implementace systému,</w:t>
      </w:r>
    </w:p>
    <w:p w14:paraId="1745A442" w14:textId="6B8FFE39" w:rsidR="00FE176D" w:rsidRPr="004A5821" w:rsidRDefault="00FE176D" w:rsidP="000E7C16">
      <w:pPr>
        <w:pStyle w:val="Odstavecseseznamem"/>
        <w:numPr>
          <w:ilvl w:val="0"/>
          <w:numId w:val="24"/>
        </w:numPr>
        <w:ind w:left="714" w:hanging="357"/>
        <w:contextualSpacing w:val="0"/>
      </w:pPr>
      <w:r w:rsidRPr="004A5821">
        <w:t>s platnou legislativou ČR k datu hlášení incidentu zadavatelem.</w:t>
      </w:r>
    </w:p>
    <w:p w14:paraId="65BB24DB" w14:textId="77777777" w:rsidR="00FE176D" w:rsidRPr="004A5821" w:rsidRDefault="00FE176D" w:rsidP="00FE176D">
      <w:r w:rsidRPr="004A5821">
        <w:t xml:space="preserve">Není-li uvedeno u konkrétní komponenty jinak, požaduje zadavatel provedení záruční opravy zjištěné vady do tří pracovních dnů. </w:t>
      </w:r>
    </w:p>
    <w:p w14:paraId="5781DE31" w14:textId="26DC3533" w:rsidR="00FE176D" w:rsidRPr="004A5821" w:rsidRDefault="00FE176D" w:rsidP="00FE176D">
      <w:r w:rsidRPr="004A5821">
        <w:t xml:space="preserve">Pro hlášení servisní požadavků zajistí </w:t>
      </w:r>
      <w:r w:rsidR="00DB312C">
        <w:t xml:space="preserve">účastník pro </w:t>
      </w:r>
      <w:r>
        <w:t>zadavatel</w:t>
      </w:r>
      <w:r w:rsidR="00DB312C">
        <w:t>e</w:t>
      </w:r>
      <w:r>
        <w:t xml:space="preserve"> </w:t>
      </w:r>
      <w:r w:rsidRPr="004A5821">
        <w:t xml:space="preserve">přístup ke svému helpdeskovému systému s on-line přístupem pro kompletní správu požadavků včetně uchování historie požadavků a jejich řešení. Detailní popis helpdeskového systému a jeho obsluhy musí být součástí nabídky. Provozní doba helpdeskového systému musí být minimálně </w:t>
      </w:r>
      <w:r w:rsidR="00360FC3">
        <w:t xml:space="preserve">08:00 – 17:00 </w:t>
      </w:r>
      <w:r w:rsidRPr="004A5821">
        <w:t xml:space="preserve">hod. v pracovních dnech. </w:t>
      </w:r>
    </w:p>
    <w:p w14:paraId="1403327B" w14:textId="77777777" w:rsidR="00FE176D" w:rsidRDefault="00FE176D" w:rsidP="00FA614B"/>
    <w:p w14:paraId="69FCEDCC" w14:textId="1E95B6C8" w:rsidR="00DB312C" w:rsidRPr="00833402" w:rsidRDefault="009F0177" w:rsidP="00DB312C">
      <w:pPr>
        <w:pStyle w:val="Nadpis1"/>
      </w:pPr>
      <w:r w:rsidRPr="00833402">
        <w:lastRenderedPageBreak/>
        <w:t xml:space="preserve">POŽADAVKY NA </w:t>
      </w:r>
      <w:r>
        <w:t>PODPORU</w:t>
      </w:r>
      <w:r w:rsidRPr="00833402">
        <w:t xml:space="preserve"> PROVOZU</w:t>
      </w:r>
    </w:p>
    <w:p w14:paraId="273B9F2D" w14:textId="77777777" w:rsidR="00DB312C" w:rsidRPr="00833402" w:rsidRDefault="00DB312C" w:rsidP="00DB312C">
      <w:pPr>
        <w:pStyle w:val="Nadpis2"/>
      </w:pPr>
      <w:r w:rsidRPr="00833402">
        <w:t>Obecná pravidla provozu</w:t>
      </w:r>
    </w:p>
    <w:p w14:paraId="355642B0" w14:textId="7DE8E7C1" w:rsidR="00DB312C" w:rsidRDefault="00DB312C" w:rsidP="00DB312C">
      <w:r w:rsidRPr="00833402">
        <w:t>Zadavatel požaduje detailní návrh podmínek podpory provozu, zajišťující</w:t>
      </w:r>
      <w:r>
        <w:t xml:space="preserve"> plnohodnotný</w:t>
      </w:r>
      <w:r w:rsidRPr="00833402">
        <w:t xml:space="preserve"> provoz předmětu plnění od doby předání do provozu. </w:t>
      </w:r>
      <w:r>
        <w:t xml:space="preserve">Dodavatel </w:t>
      </w:r>
      <w:r w:rsidRPr="00833402">
        <w:t>podle svého uvážení může provést úpravu parametrů, pokud takové úpravy nepovedou ke zhoršení podmínek zajištění podpory provozu.</w:t>
      </w:r>
    </w:p>
    <w:p w14:paraId="49491C66" w14:textId="621B6807" w:rsidR="00DB312C" w:rsidRDefault="00DB312C" w:rsidP="00DB312C">
      <w:r w:rsidRPr="00AE7E72">
        <w:t xml:space="preserve">Pro hlášení servisní požadavků zajistí </w:t>
      </w:r>
      <w:r>
        <w:t xml:space="preserve">dodavatel pro Zadavatele </w:t>
      </w:r>
      <w:r w:rsidRPr="00AE7E72">
        <w:t xml:space="preserve">přístup ke svému </w:t>
      </w:r>
      <w:r>
        <w:t>help</w:t>
      </w:r>
      <w:r w:rsidRPr="00AE7E72">
        <w:t xml:space="preserve">deskovému systému s on-line přístupem pro kompletní správu požadavků včetně uchování historie požadavků a jejich řešení. Detailní popis </w:t>
      </w:r>
      <w:r>
        <w:t>help</w:t>
      </w:r>
      <w:r w:rsidRPr="00AE7E72">
        <w:t xml:space="preserve">deskového systému a jeho obsluhy musí být součástí </w:t>
      </w:r>
      <w:r>
        <w:t>předané dokumentace.</w:t>
      </w:r>
    </w:p>
    <w:p w14:paraId="14D35351" w14:textId="68F1C00A" w:rsidR="00DB312C" w:rsidRDefault="00DB312C" w:rsidP="00DB312C">
      <w:r w:rsidRPr="00AE7E72">
        <w:t xml:space="preserve">Provozní doba </w:t>
      </w:r>
      <w:r>
        <w:t>help</w:t>
      </w:r>
      <w:r w:rsidRPr="00AE7E72">
        <w:t>deskového systému musí být minimálně 8</w:t>
      </w:r>
      <w:r w:rsidR="006E2C90">
        <w:t xml:space="preserve">:00 – </w:t>
      </w:r>
      <w:r w:rsidRPr="00AE7E72">
        <w:t>17</w:t>
      </w:r>
      <w:r w:rsidR="006E2C90">
        <w:t>:00</w:t>
      </w:r>
      <w:r w:rsidRPr="00AE7E72">
        <w:t xml:space="preserve"> hod. v pracovních dnech.</w:t>
      </w:r>
    </w:p>
    <w:p w14:paraId="0A30113D" w14:textId="77777777" w:rsidR="00DB312C" w:rsidRPr="00206D40" w:rsidRDefault="00DB312C" w:rsidP="00DB312C">
      <w:r w:rsidRPr="0088014C">
        <w:t>Běžná pracovní doba zadavatele je</w:t>
      </w:r>
      <w:r w:rsidRPr="00206D40">
        <w:t xml:space="preserve"> </w:t>
      </w:r>
      <w:r>
        <w:t>období</w:t>
      </w:r>
      <w:r w:rsidRPr="00206D40">
        <w:t xml:space="preserve"> mezi 8:00 a 17:00 v </w:t>
      </w:r>
      <w:r>
        <w:t>p</w:t>
      </w:r>
      <w:r w:rsidRPr="00206D40">
        <w:t>racovní dny.</w:t>
      </w:r>
    </w:p>
    <w:p w14:paraId="7111F739" w14:textId="77777777" w:rsidR="00DB312C" w:rsidRPr="00833402" w:rsidRDefault="00DB312C" w:rsidP="00DB312C">
      <w:r w:rsidRPr="00833402">
        <w:t>Provozem se rozumí chod a udržování jednotlivých částí řešení,</w:t>
      </w:r>
      <w:r>
        <w:t xml:space="preserve"> včetně </w:t>
      </w:r>
      <w:r w:rsidRPr="00833402">
        <w:t xml:space="preserve">aktuální </w:t>
      </w:r>
      <w:r>
        <w:t xml:space="preserve">provozní </w:t>
      </w:r>
      <w:r w:rsidRPr="00833402">
        <w:t>dokumentace.</w:t>
      </w:r>
    </w:p>
    <w:p w14:paraId="59462A09" w14:textId="33000396" w:rsidR="00DB312C" w:rsidRPr="00833402" w:rsidRDefault="00DB312C" w:rsidP="00DB312C">
      <w:r w:rsidRPr="00833402">
        <w:t xml:space="preserve">Pravidla </w:t>
      </w:r>
      <w:r>
        <w:t xml:space="preserve">vzdáleného </w:t>
      </w:r>
      <w:r w:rsidRPr="00833402">
        <w:t xml:space="preserve">přístupu budou </w:t>
      </w:r>
      <w:r>
        <w:t xml:space="preserve">vybranému dodavateli </w:t>
      </w:r>
      <w:r w:rsidRPr="00833402">
        <w:t>předána při podpisu smlouvy.</w:t>
      </w:r>
    </w:p>
    <w:p w14:paraId="73C77D7F" w14:textId="72AEB655" w:rsidR="00DB312C" w:rsidRPr="00833402" w:rsidRDefault="00DB312C" w:rsidP="00DB312C">
      <w:r w:rsidRPr="00833402">
        <w:t>Zásahy</w:t>
      </w:r>
      <w:r>
        <w:t xml:space="preserve"> omezující provoz </w:t>
      </w:r>
      <w:r w:rsidRPr="00833402">
        <w:t xml:space="preserve">jsou přednostně prováděny mimo provozní dobu </w:t>
      </w:r>
      <w:r>
        <w:t>zadavatele tzn. pondělí až pátek, od 08:00 do 17:00.</w:t>
      </w:r>
      <w:r w:rsidRPr="00833402">
        <w:t xml:space="preserve"> O nutnosti </w:t>
      </w:r>
      <w:r>
        <w:t xml:space="preserve">těchto </w:t>
      </w:r>
      <w:r w:rsidRPr="00833402">
        <w:t xml:space="preserve">zásahů v provozní době služby rozhoduje projektový manažer </w:t>
      </w:r>
      <w:r>
        <w:t xml:space="preserve">dodavatele </w:t>
      </w:r>
      <w:r w:rsidRPr="00833402">
        <w:t xml:space="preserve">a 48 hodin předem o nich informuje </w:t>
      </w:r>
      <w:r>
        <w:t xml:space="preserve">zadavatele / </w:t>
      </w:r>
      <w:r w:rsidRPr="00833402">
        <w:t>uživatele. Pokud je nevyhnutelně nutné provést zásah okamžitě, operátor Helpdesku a oprávněn</w:t>
      </w:r>
      <w:r>
        <w:t>á</w:t>
      </w:r>
      <w:r w:rsidRPr="00833402">
        <w:t xml:space="preserve"> osob</w:t>
      </w:r>
      <w:r>
        <w:t>a</w:t>
      </w:r>
      <w:r w:rsidRPr="00833402">
        <w:t xml:space="preserve"> zadavatele jsou o této skutečnosti neprodleně informováni.</w:t>
      </w:r>
    </w:p>
    <w:p w14:paraId="4726765C" w14:textId="77777777" w:rsidR="00DB312C" w:rsidRPr="00833402" w:rsidRDefault="00DB312C" w:rsidP="00DB312C">
      <w:r w:rsidRPr="00833402">
        <w:t>Neplánované zásahy do systému, které mohou ovlivnit uživatelské prostředí, jsou uživatelům oznámeny minimálně 1 hodinu před zahájením poskytování služby nebo činnosti.</w:t>
      </w:r>
    </w:p>
    <w:p w14:paraId="29977FC4" w14:textId="7091DE5C" w:rsidR="00DB312C" w:rsidRDefault="00DB312C" w:rsidP="00DB312C">
      <w:r w:rsidRPr="00833402">
        <w:t>Plánované zásahy do systému, které mohou ovlivnit uživatelské prostředí, jsou uživatelům oznámeny minimálně 24 hodin před zahájením poskytování služby nebo činnosti</w:t>
      </w:r>
      <w:r w:rsidR="009F0177">
        <w:t>.</w:t>
      </w:r>
    </w:p>
    <w:p w14:paraId="22290A0D" w14:textId="77777777" w:rsidR="009F0177" w:rsidRDefault="009F0177" w:rsidP="00DB312C"/>
    <w:p w14:paraId="66ED0FB1" w14:textId="77777777" w:rsidR="00DB312C" w:rsidRPr="00833402" w:rsidRDefault="00DB312C" w:rsidP="00DB312C">
      <w:pPr>
        <w:pStyle w:val="Nadpis2"/>
      </w:pPr>
      <w:r w:rsidRPr="00AE7E72">
        <w:t xml:space="preserve">Požadavky na </w:t>
      </w:r>
      <w:r>
        <w:t xml:space="preserve">podporu </w:t>
      </w:r>
      <w:r w:rsidRPr="00AE7E72">
        <w:t>provoz</w:t>
      </w:r>
      <w:r>
        <w:t>u</w:t>
      </w:r>
      <w:r w:rsidRPr="00AE7E72">
        <w:t xml:space="preserve"> </w:t>
      </w:r>
    </w:p>
    <w:p w14:paraId="2F7FD577" w14:textId="77777777" w:rsidR="00DB312C" w:rsidRPr="00AE7E72" w:rsidRDefault="00DB312C" w:rsidP="00DB312C">
      <w:r>
        <w:t>Dodavatel</w:t>
      </w:r>
      <w:r w:rsidRPr="004A5821">
        <w:t xml:space="preserve"> ve své nabídce uvede </w:t>
      </w:r>
      <w:r>
        <w:t xml:space="preserve">kompletní podmínky pro zajištění </w:t>
      </w:r>
      <w:r w:rsidRPr="004A5821">
        <w:t>servisní podpory</w:t>
      </w:r>
      <w:r>
        <w:t>, včetně pravidelných aktualizací software (maintenance) a nezbytné podpory provozu.</w:t>
      </w:r>
    </w:p>
    <w:p w14:paraId="562CF9BD" w14:textId="77777777" w:rsidR="00DB312C" w:rsidRPr="004A5821" w:rsidRDefault="00DB312C" w:rsidP="00DB312C">
      <w:r w:rsidRPr="004A5821">
        <w:t>Součástí základní servisní podpory musí být:</w:t>
      </w:r>
    </w:p>
    <w:p w14:paraId="1675BAC1" w14:textId="6FAE95E2" w:rsidR="00DB312C" w:rsidRPr="004A5821" w:rsidRDefault="00DB312C" w:rsidP="000E7C16">
      <w:pPr>
        <w:pStyle w:val="Odstavecseseznamem"/>
        <w:numPr>
          <w:ilvl w:val="0"/>
          <w:numId w:val="25"/>
        </w:numPr>
        <w:ind w:left="714" w:hanging="357"/>
        <w:contextualSpacing w:val="0"/>
      </w:pPr>
      <w:r w:rsidRPr="004A5821">
        <w:t xml:space="preserve">instalace a údržba aktuálních verzí, upgrade a update dodaného software na vyžádání zadavatele a </w:t>
      </w:r>
    </w:p>
    <w:p w14:paraId="3D8A3197" w14:textId="797E8423" w:rsidR="00DB312C" w:rsidRPr="004A5821" w:rsidRDefault="00DB312C" w:rsidP="000E7C16">
      <w:pPr>
        <w:pStyle w:val="Odstavecseseznamem"/>
        <w:numPr>
          <w:ilvl w:val="0"/>
          <w:numId w:val="25"/>
        </w:numPr>
        <w:ind w:left="714" w:hanging="357"/>
        <w:contextualSpacing w:val="0"/>
      </w:pPr>
      <w:r w:rsidRPr="004A5821">
        <w:t>zajištění instalace legislativního servisu, kdy aktuální verze dodaného software musí být zadavateli nainstalována nejpozději k datu nabytí účinnosti nové právní úpravy za předpokladu vydání prováděcích předpisů k této úpravě nejpozději 60 dnů před nabytím účinnosti této nové právní úpravy (v opačném případě do 60 dnů od vydání prováděcích předpisů k příslušné právní úpravě).</w:t>
      </w:r>
    </w:p>
    <w:p w14:paraId="799D3F86" w14:textId="34A2195B" w:rsidR="00DB312C" w:rsidRPr="004A5821" w:rsidRDefault="00DB312C" w:rsidP="00DB312C">
      <w:r w:rsidRPr="004A5821">
        <w:t xml:space="preserve">Cenu této základní servisní podpory zahrne </w:t>
      </w:r>
      <w:r>
        <w:t>dodavatel</w:t>
      </w:r>
      <w:r w:rsidRPr="004A5821">
        <w:t xml:space="preserve"> do položky „Základní servisní podpora“ v</w:t>
      </w:r>
      <w:r>
        <w:t> položkovém rozpočtu (příloha č. 5 zadávací dokumentace)</w:t>
      </w:r>
      <w:r w:rsidRPr="004A5821">
        <w:t>.</w:t>
      </w:r>
    </w:p>
    <w:p w14:paraId="209AF76F" w14:textId="77777777" w:rsidR="00DB312C" w:rsidRPr="004A5821" w:rsidRDefault="00DB312C" w:rsidP="00DB312C">
      <w:r w:rsidRPr="004A5821">
        <w:t xml:space="preserve">Zadavatel kromě základní servisní podpory požaduje </w:t>
      </w:r>
      <w:r>
        <w:t>také</w:t>
      </w:r>
      <w:r w:rsidRPr="004A5821">
        <w:t xml:space="preserve"> rozšířenou servisní podporu, která pokrývá:</w:t>
      </w:r>
    </w:p>
    <w:p w14:paraId="74132B9F" w14:textId="3C027AC4" w:rsidR="00DB312C" w:rsidRPr="004A5821" w:rsidRDefault="00DB312C" w:rsidP="000E7C16">
      <w:pPr>
        <w:pStyle w:val="Odstavecseseznamem"/>
        <w:numPr>
          <w:ilvl w:val="0"/>
          <w:numId w:val="26"/>
        </w:numPr>
        <w:ind w:left="714" w:hanging="357"/>
        <w:contextualSpacing w:val="0"/>
      </w:pPr>
      <w:r w:rsidRPr="004A5821">
        <w:t xml:space="preserve">řešení případných změnových požadavků, tj. možné úpravy nebo doplnění standardní funkcionality dodaného systému (tzv. </w:t>
      </w:r>
      <w:proofErr w:type="spellStart"/>
      <w:r w:rsidRPr="004A5821">
        <w:t>change</w:t>
      </w:r>
      <w:proofErr w:type="spellEnd"/>
      <w:r w:rsidRPr="004A5821">
        <w:t xml:space="preserve"> </w:t>
      </w:r>
      <w:proofErr w:type="spellStart"/>
      <w:r w:rsidRPr="004A5821">
        <w:t>request</w:t>
      </w:r>
      <w:proofErr w:type="spellEnd"/>
      <w:r w:rsidRPr="004A5821">
        <w:t xml:space="preserve"> – změnový požadavek),</w:t>
      </w:r>
    </w:p>
    <w:p w14:paraId="1E7D6BD9" w14:textId="7704E613" w:rsidR="00DB312C" w:rsidRPr="004A5821" w:rsidRDefault="00DB312C" w:rsidP="000E7C16">
      <w:pPr>
        <w:pStyle w:val="Odstavecseseznamem"/>
        <w:numPr>
          <w:ilvl w:val="0"/>
          <w:numId w:val="26"/>
        </w:numPr>
        <w:ind w:left="714" w:hanging="357"/>
        <w:contextualSpacing w:val="0"/>
      </w:pPr>
      <w:r w:rsidRPr="004A5821">
        <w:t>provozní kontrola systému (profylaxe),</w:t>
      </w:r>
    </w:p>
    <w:p w14:paraId="4C9F2BB0" w14:textId="77777777" w:rsidR="00DB312C" w:rsidRPr="004A5821" w:rsidRDefault="00DB312C" w:rsidP="000E7C16">
      <w:pPr>
        <w:pStyle w:val="Odstavecseseznamem"/>
        <w:numPr>
          <w:ilvl w:val="0"/>
          <w:numId w:val="26"/>
        </w:numPr>
        <w:ind w:left="714" w:hanging="357"/>
        <w:contextualSpacing w:val="0"/>
      </w:pPr>
      <w:r w:rsidRPr="004A5821">
        <w:t>implementace nových verzí produktu,</w:t>
      </w:r>
    </w:p>
    <w:p w14:paraId="115BE033" w14:textId="72A78D13" w:rsidR="00DB312C" w:rsidRPr="004A5821" w:rsidRDefault="00DB312C" w:rsidP="000E7C16">
      <w:pPr>
        <w:pStyle w:val="Odstavecseseznamem"/>
        <w:numPr>
          <w:ilvl w:val="0"/>
          <w:numId w:val="26"/>
        </w:numPr>
        <w:ind w:left="714" w:hanging="357"/>
        <w:contextualSpacing w:val="0"/>
      </w:pPr>
      <w:r w:rsidRPr="004A5821">
        <w:t xml:space="preserve">poskytování </w:t>
      </w:r>
      <w:r w:rsidR="006E2C90">
        <w:t xml:space="preserve">odborných </w:t>
      </w:r>
      <w:r w:rsidRPr="004A5821">
        <w:t>konzultací,</w:t>
      </w:r>
    </w:p>
    <w:p w14:paraId="08B7AABE" w14:textId="77777777" w:rsidR="006E2C90" w:rsidRDefault="00DB312C" w:rsidP="000E7C16">
      <w:pPr>
        <w:pStyle w:val="Odstavecseseznamem"/>
        <w:numPr>
          <w:ilvl w:val="0"/>
          <w:numId w:val="26"/>
        </w:numPr>
        <w:ind w:left="714" w:hanging="357"/>
        <w:contextualSpacing w:val="0"/>
      </w:pPr>
      <w:r w:rsidRPr="004A5821">
        <w:t>poskytování školení (doškolení změn nebo nově příchozích pracovníků úřadu)</w:t>
      </w:r>
      <w:r w:rsidR="006E2C90">
        <w:t>,</w:t>
      </w:r>
    </w:p>
    <w:p w14:paraId="0CB4AF2A" w14:textId="26AEA6C1" w:rsidR="00DB312C" w:rsidRPr="004A5821" w:rsidRDefault="006E2C90" w:rsidP="000E7C16">
      <w:pPr>
        <w:pStyle w:val="Odstavecseseznamem"/>
        <w:numPr>
          <w:ilvl w:val="0"/>
          <w:numId w:val="26"/>
        </w:numPr>
        <w:ind w:left="714" w:hanging="357"/>
        <w:contextualSpacing w:val="0"/>
      </w:pPr>
      <w:r>
        <w:lastRenderedPageBreak/>
        <w:t>odborná podpora</w:t>
      </w:r>
      <w:r w:rsidR="00DB312C" w:rsidRPr="004A5821">
        <w:t>.</w:t>
      </w:r>
    </w:p>
    <w:p w14:paraId="0AB09F4D" w14:textId="11563797" w:rsidR="00DB312C" w:rsidRPr="004A5821" w:rsidRDefault="00DB312C" w:rsidP="00DB312C">
      <w:r w:rsidRPr="004A5821">
        <w:t xml:space="preserve">Cenu a podmínky Rozšířené servisní podpory zahrne </w:t>
      </w:r>
      <w:r>
        <w:t>dodavatel</w:t>
      </w:r>
      <w:r w:rsidRPr="004A5821">
        <w:t xml:space="preserve"> do položky „Rozšířená servisní podpora“</w:t>
      </w:r>
      <w:r>
        <w:t>,</w:t>
      </w:r>
      <w:r w:rsidRPr="002A218A">
        <w:t xml:space="preserve"> </w:t>
      </w:r>
      <w:r w:rsidRPr="004A5821">
        <w:t>v</w:t>
      </w:r>
      <w:r>
        <w:t> položkovém rozpočtu (příloha č. 5 zadávací dokumentace)</w:t>
      </w:r>
      <w:r w:rsidRPr="004A5821">
        <w:t>.</w:t>
      </w:r>
    </w:p>
    <w:p w14:paraId="34DBF390" w14:textId="77777777" w:rsidR="00DB312C" w:rsidRPr="004A5821" w:rsidRDefault="00DB312C" w:rsidP="00DB312C">
      <w:r>
        <w:t>Dodavatel</w:t>
      </w:r>
      <w:r w:rsidRPr="004A5821">
        <w:t xml:space="preserve"> ve své nabídce rovněž uvede garantované hodinové sazby svých výkonů,</w:t>
      </w:r>
      <w:r>
        <w:t xml:space="preserve"> v rámci </w:t>
      </w:r>
      <w:r w:rsidRPr="004A5821">
        <w:t>rozšíření servisní podpory</w:t>
      </w:r>
      <w:r>
        <w:t xml:space="preserve"> – tyto hodinové sazby bude dodavatel účtovat, v případě že zadavatel v rámci podpory provozu, bude požadovat služby nad stanovený objem hodin.</w:t>
      </w:r>
    </w:p>
    <w:p w14:paraId="751BA3B1" w14:textId="77777777" w:rsidR="00DB312C" w:rsidRPr="004A5821" w:rsidRDefault="00DB312C" w:rsidP="00DB312C">
      <w:r>
        <w:t>Dodavatel</w:t>
      </w:r>
      <w:r w:rsidRPr="004A5821">
        <w:t xml:space="preserve"> bude v průběhu produktivního provozu vykonávat podporu uživatelů prostřednictvím vzdáleného připojení do prostředí objednatele nebo prostřednictvím telefonických konzultací.</w:t>
      </w:r>
      <w:r>
        <w:t xml:space="preserve"> </w:t>
      </w:r>
    </w:p>
    <w:p w14:paraId="4063A8F9" w14:textId="77777777" w:rsidR="00DB312C" w:rsidRPr="008730CC" w:rsidRDefault="00DB312C" w:rsidP="00DB312C">
      <w:r w:rsidRPr="008730CC">
        <w:t>Rozsah základní servisní podpory:</w:t>
      </w:r>
    </w:p>
    <w:p w14:paraId="4A56330C" w14:textId="7AB55CBE" w:rsidR="00DB312C" w:rsidRPr="008730CC" w:rsidRDefault="00DB312C" w:rsidP="000E7C16">
      <w:pPr>
        <w:pStyle w:val="Odstavecseseznamem"/>
        <w:numPr>
          <w:ilvl w:val="0"/>
          <w:numId w:val="27"/>
        </w:numPr>
        <w:ind w:left="714" w:hanging="357"/>
        <w:contextualSpacing w:val="0"/>
      </w:pPr>
      <w:r w:rsidRPr="008730CC">
        <w:t>Řešení Incidentů kategorie A, B nebo C v rozsahu maximálně 12 hodin měsíčně. Pokud se během řešení Incidentu ukáže, že se jedná o vadu, která spadá pod záruky systému, nebude se čas potřebný pro řešení incidentu započítávat do rozsahu měsíčního plnění.</w:t>
      </w:r>
    </w:p>
    <w:p w14:paraId="67F11DFC" w14:textId="47BEE45F" w:rsidR="00DB312C" w:rsidRPr="008730CC" w:rsidRDefault="00DB312C" w:rsidP="000E7C16">
      <w:pPr>
        <w:pStyle w:val="Odstavecseseznamem"/>
        <w:numPr>
          <w:ilvl w:val="0"/>
          <w:numId w:val="27"/>
        </w:numPr>
        <w:ind w:left="714" w:hanging="357"/>
        <w:contextualSpacing w:val="0"/>
      </w:pPr>
      <w:proofErr w:type="spellStart"/>
      <w:r w:rsidRPr="008730CC">
        <w:t>Helpdeskový</w:t>
      </w:r>
      <w:proofErr w:type="spellEnd"/>
      <w:r w:rsidRPr="008730CC">
        <w:t xml:space="preserve"> systém s on-line přístupem (web, e-mail) pro kompletní správu požadavků včetně uchování historie požadavků a jejich řešení.</w:t>
      </w:r>
    </w:p>
    <w:p w14:paraId="28184974" w14:textId="6DA20977" w:rsidR="00DB312C" w:rsidRPr="008730CC" w:rsidRDefault="00DB312C" w:rsidP="000E7C16">
      <w:pPr>
        <w:pStyle w:val="Odstavecseseznamem"/>
        <w:numPr>
          <w:ilvl w:val="0"/>
          <w:numId w:val="27"/>
        </w:numPr>
        <w:ind w:left="714" w:hanging="357"/>
        <w:contextualSpacing w:val="0"/>
      </w:pPr>
      <w:r w:rsidRPr="008730CC">
        <w:t xml:space="preserve">Řešení Incidentů kategorie D na vyžádání </w:t>
      </w:r>
      <w:r>
        <w:t>zadavatelem</w:t>
      </w:r>
      <w:r w:rsidRPr="008730CC">
        <w:t>.</w:t>
      </w:r>
    </w:p>
    <w:p w14:paraId="46C6B91D" w14:textId="77777777" w:rsidR="00DB312C" w:rsidRPr="008730CC" w:rsidRDefault="00DB312C" w:rsidP="00DB312C">
      <w:r w:rsidRPr="008730CC">
        <w:t>Rozsah rozšířené servisní podpory:</w:t>
      </w:r>
    </w:p>
    <w:p w14:paraId="50B85C6F" w14:textId="12E2C6B8" w:rsidR="00DB312C" w:rsidRPr="008730CC" w:rsidRDefault="00DB312C" w:rsidP="000E7C16">
      <w:pPr>
        <w:pStyle w:val="Odstavecseseznamem"/>
        <w:numPr>
          <w:ilvl w:val="0"/>
          <w:numId w:val="28"/>
        </w:numPr>
        <w:ind w:left="714" w:hanging="357"/>
        <w:contextualSpacing w:val="0"/>
      </w:pPr>
      <w:r w:rsidRPr="008730CC">
        <w:t xml:space="preserve">Řešení změnových požadavků v rozsahu </w:t>
      </w:r>
      <w:r>
        <w:t xml:space="preserve">maximálně </w:t>
      </w:r>
      <w:r w:rsidRPr="008730CC">
        <w:t>32 hodin ročně. V případě nerealizování úprav nebo doplnění standardní funkcionality je možné tuto kapacitu vyčerpat dalšími uvedenými službami rozšířené podpory</w:t>
      </w:r>
      <w:r>
        <w:t>.</w:t>
      </w:r>
    </w:p>
    <w:p w14:paraId="4BBEF26E" w14:textId="20EE3466" w:rsidR="00DB312C" w:rsidRPr="008730CC" w:rsidRDefault="00DB312C" w:rsidP="000E7C16">
      <w:pPr>
        <w:pStyle w:val="Odstavecseseznamem"/>
        <w:numPr>
          <w:ilvl w:val="0"/>
          <w:numId w:val="28"/>
        </w:numPr>
        <w:ind w:left="714" w:hanging="357"/>
        <w:contextualSpacing w:val="0"/>
      </w:pPr>
      <w:r w:rsidRPr="008730CC">
        <w:t xml:space="preserve">Provozní kontrola systému (profylaxe) v rozsahu </w:t>
      </w:r>
      <w:r>
        <w:t xml:space="preserve">maximálně </w:t>
      </w:r>
      <w:r w:rsidRPr="008730CC">
        <w:t>32 hodin ročně</w:t>
      </w:r>
      <w:r>
        <w:t>.</w:t>
      </w:r>
    </w:p>
    <w:p w14:paraId="77673335" w14:textId="6D5CDF54" w:rsidR="00DB312C" w:rsidRPr="008730CC" w:rsidRDefault="00DB312C" w:rsidP="000E7C16">
      <w:pPr>
        <w:pStyle w:val="Odstavecseseznamem"/>
        <w:numPr>
          <w:ilvl w:val="0"/>
          <w:numId w:val="28"/>
        </w:numPr>
        <w:ind w:left="714" w:hanging="357"/>
        <w:contextualSpacing w:val="0"/>
      </w:pPr>
      <w:r w:rsidRPr="008730CC">
        <w:t xml:space="preserve">Implementace nových verzí produktu v rozsahu </w:t>
      </w:r>
      <w:r>
        <w:t xml:space="preserve">maximálně </w:t>
      </w:r>
      <w:r w:rsidRPr="008730CC">
        <w:t>32 hodin ročně</w:t>
      </w:r>
      <w:r>
        <w:t>.</w:t>
      </w:r>
    </w:p>
    <w:p w14:paraId="4D2482DF" w14:textId="60B65048" w:rsidR="00DB312C" w:rsidRPr="008730CC" w:rsidRDefault="00DB312C" w:rsidP="000E7C16">
      <w:pPr>
        <w:pStyle w:val="Odstavecseseznamem"/>
        <w:numPr>
          <w:ilvl w:val="0"/>
          <w:numId w:val="28"/>
        </w:numPr>
        <w:ind w:left="714" w:hanging="357"/>
        <w:contextualSpacing w:val="0"/>
      </w:pPr>
      <w:r>
        <w:t>P</w:t>
      </w:r>
      <w:r w:rsidRPr="008730CC">
        <w:t xml:space="preserve">oskytování </w:t>
      </w:r>
      <w:r w:rsidR="006E2C90">
        <w:t xml:space="preserve">odborných </w:t>
      </w:r>
      <w:r w:rsidRPr="008730CC">
        <w:t xml:space="preserve">konzultací v rozsahu </w:t>
      </w:r>
      <w:r>
        <w:t xml:space="preserve">maximálně </w:t>
      </w:r>
      <w:r w:rsidRPr="008730CC">
        <w:t>32 hodin ročně</w:t>
      </w:r>
      <w:r>
        <w:t>.</w:t>
      </w:r>
    </w:p>
    <w:p w14:paraId="0CBD805A" w14:textId="32F121CB" w:rsidR="00DB312C" w:rsidRPr="008730CC" w:rsidRDefault="00DB312C" w:rsidP="000E7C16">
      <w:pPr>
        <w:pStyle w:val="Odstavecseseznamem"/>
        <w:numPr>
          <w:ilvl w:val="0"/>
          <w:numId w:val="28"/>
        </w:numPr>
        <w:ind w:left="714" w:hanging="357"/>
        <w:contextualSpacing w:val="0"/>
      </w:pPr>
      <w:r>
        <w:t>P</w:t>
      </w:r>
      <w:r w:rsidRPr="008730CC">
        <w:t xml:space="preserve">oskytování školení v rozsahu </w:t>
      </w:r>
      <w:r>
        <w:t xml:space="preserve">maximálně </w:t>
      </w:r>
      <w:r w:rsidRPr="008730CC">
        <w:t>32 hodin ročně</w:t>
      </w:r>
      <w:r>
        <w:t>.</w:t>
      </w:r>
    </w:p>
    <w:p w14:paraId="5CF1C047" w14:textId="0A8CBD60" w:rsidR="00DB312C" w:rsidRPr="008730CC" w:rsidRDefault="00DB312C" w:rsidP="000E7C16">
      <w:pPr>
        <w:pStyle w:val="Odstavecseseznamem"/>
        <w:numPr>
          <w:ilvl w:val="0"/>
          <w:numId w:val="28"/>
        </w:numPr>
        <w:ind w:left="714" w:hanging="357"/>
        <w:contextualSpacing w:val="0"/>
      </w:pPr>
      <w:r w:rsidRPr="008730CC">
        <w:t>Odborná podpora – vzdálené konzultace pro podporované služby/produkty</w:t>
      </w:r>
      <w:r>
        <w:t>.</w:t>
      </w:r>
    </w:p>
    <w:p w14:paraId="416A5DDA" w14:textId="74862E8B" w:rsidR="00DB312C" w:rsidRDefault="00DB312C" w:rsidP="00DB312C">
      <w:r w:rsidRPr="008730CC">
        <w:t>Pro případ, že bude zadavatel požadovat služby rozšířené servisní podpory jako např. konzultace, servisní zásahy, instalace, konfigurace, řešení problémů atp., budou tyto služby vyúčtovány na konci měsíce v hodinové sazbě uvedené v</w:t>
      </w:r>
      <w:r w:rsidR="00DB74DB">
        <w:t xml:space="preserve"> položkovém (nabídkovém) rozpočtu, resp. Smlouvě o zajištění provozu, </w:t>
      </w:r>
      <w:r w:rsidRPr="008730CC">
        <w:t xml:space="preserve">dle skutečně realizovaných hodin rozšířené servisní podpory. </w:t>
      </w:r>
      <w:r>
        <w:t>V případě požadavku na</w:t>
      </w:r>
      <w:r w:rsidRPr="00276FEB">
        <w:t xml:space="preserve"> osobní přítomnost</w:t>
      </w:r>
      <w:r>
        <w:t xml:space="preserve"> podpory na místě</w:t>
      </w:r>
      <w:r w:rsidRPr="00276FEB">
        <w:t xml:space="preserve"> mohou být účtovány cestovní náklady u služeb rozšířené podpory nad stanovený objem hodin.</w:t>
      </w:r>
    </w:p>
    <w:p w14:paraId="32912816" w14:textId="77777777" w:rsidR="009F0177" w:rsidRPr="008730CC" w:rsidRDefault="009F0177" w:rsidP="00DB312C"/>
    <w:p w14:paraId="0EF33C50" w14:textId="77777777" w:rsidR="00DB74DB" w:rsidRPr="003C1623" w:rsidRDefault="00DB74DB" w:rsidP="00DB74DB">
      <w:pPr>
        <w:pStyle w:val="Nadpis2"/>
      </w:pPr>
      <w:r w:rsidRPr="003C1623">
        <w:t>Způsob poskytování servisní podpory</w:t>
      </w:r>
    </w:p>
    <w:p w14:paraId="245D865B" w14:textId="77777777" w:rsidR="00DB74DB" w:rsidRPr="003C1623" w:rsidRDefault="00DB74DB" w:rsidP="00DB74DB">
      <w:r w:rsidRPr="003C1623">
        <w:t>Servisní podpora je poskytována zejména následujícím způsobem:</w:t>
      </w:r>
    </w:p>
    <w:p w14:paraId="32F81ADD" w14:textId="3EBE1091" w:rsidR="00DB74DB" w:rsidRPr="00833402" w:rsidRDefault="00DB74DB" w:rsidP="000E7C16">
      <w:pPr>
        <w:pStyle w:val="Odstavecseseznamem"/>
        <w:numPr>
          <w:ilvl w:val="0"/>
          <w:numId w:val="29"/>
        </w:numPr>
        <w:ind w:left="714" w:hanging="357"/>
        <w:contextualSpacing w:val="0"/>
      </w:pPr>
      <w:r w:rsidRPr="00833402">
        <w:t xml:space="preserve">Prostřednictvím pracovníka </w:t>
      </w:r>
      <w:r>
        <w:t xml:space="preserve">dodavatele </w:t>
      </w:r>
      <w:r w:rsidRPr="00833402">
        <w:t>Vzdálenou správou</w:t>
      </w:r>
      <w:r>
        <w:t>.</w:t>
      </w:r>
    </w:p>
    <w:p w14:paraId="732B66E6" w14:textId="1C8E5335" w:rsidR="00DB74DB" w:rsidRPr="00833402" w:rsidRDefault="00DB74DB" w:rsidP="000E7C16">
      <w:pPr>
        <w:pStyle w:val="Odstavecseseznamem"/>
        <w:numPr>
          <w:ilvl w:val="0"/>
          <w:numId w:val="29"/>
        </w:numPr>
        <w:ind w:left="714" w:hanging="357"/>
        <w:contextualSpacing w:val="0"/>
      </w:pPr>
      <w:r w:rsidRPr="00833402">
        <w:t xml:space="preserve">Prostřednictvím pracovníka </w:t>
      </w:r>
      <w:r>
        <w:t xml:space="preserve">dodavatele </w:t>
      </w:r>
      <w:r w:rsidRPr="00833402">
        <w:t>formou vzdálené konzultace</w:t>
      </w:r>
      <w:r>
        <w:t>.</w:t>
      </w:r>
    </w:p>
    <w:p w14:paraId="631784DB" w14:textId="4CBF1EF8" w:rsidR="00DB74DB" w:rsidRPr="00833402" w:rsidRDefault="00DB74DB" w:rsidP="00DB74DB">
      <w:r>
        <w:t xml:space="preserve">Dodavatel </w:t>
      </w:r>
      <w:r w:rsidRPr="00833402">
        <w:t xml:space="preserve">provede záznam o provedení </w:t>
      </w:r>
      <w:r>
        <w:t>servisní podpory, v záznamu uvede relevantní informace včetně doby poskytování servisní podpory a záznam zašle elektronicky z</w:t>
      </w:r>
      <w:r w:rsidRPr="00833402">
        <w:t>adavateli. Servisní služby, které jsou poskytovány vzdálenou formou, mohou být evidovány v elektronickém seznamu provedených úkonů.</w:t>
      </w:r>
      <w:r>
        <w:t xml:space="preserve"> </w:t>
      </w:r>
    </w:p>
    <w:p w14:paraId="1850B6C7" w14:textId="0434C7B5" w:rsidR="00DB74DB" w:rsidRPr="00833402" w:rsidRDefault="00DB74DB" w:rsidP="00DB74DB">
      <w:r w:rsidRPr="00833402">
        <w:t xml:space="preserve">Zadavatel je povinen zabezpečit </w:t>
      </w:r>
      <w:r>
        <w:t xml:space="preserve">dodavateli </w:t>
      </w:r>
      <w:r w:rsidRPr="00833402">
        <w:t>podmínky pro řádné plnění, zejména</w:t>
      </w:r>
      <w:r>
        <w:t>:</w:t>
      </w:r>
    </w:p>
    <w:p w14:paraId="6B80B560" w14:textId="3361A8EC" w:rsidR="00DB74DB" w:rsidRPr="00833402" w:rsidRDefault="00DB74DB" w:rsidP="000E7C16">
      <w:pPr>
        <w:pStyle w:val="Odstavecseseznamem"/>
        <w:numPr>
          <w:ilvl w:val="0"/>
          <w:numId w:val="30"/>
        </w:numPr>
        <w:ind w:left="714" w:hanging="357"/>
        <w:contextualSpacing w:val="0"/>
      </w:pPr>
      <w:r w:rsidRPr="00833402">
        <w:t xml:space="preserve">zajistit a udržovat podmínky pro Vzdálený přístup </w:t>
      </w:r>
      <w:r>
        <w:t>dodavatele</w:t>
      </w:r>
      <w:r w:rsidRPr="00833402">
        <w:t xml:space="preserve">, </w:t>
      </w:r>
    </w:p>
    <w:p w14:paraId="43BB0FD9" w14:textId="0348815D" w:rsidR="00DB74DB" w:rsidRPr="00833402" w:rsidRDefault="00DB74DB" w:rsidP="000E7C16">
      <w:pPr>
        <w:pStyle w:val="Odstavecseseznamem"/>
        <w:numPr>
          <w:ilvl w:val="0"/>
          <w:numId w:val="30"/>
        </w:numPr>
        <w:ind w:left="714" w:hanging="357"/>
        <w:contextualSpacing w:val="0"/>
      </w:pPr>
      <w:r w:rsidRPr="00833402">
        <w:t xml:space="preserve">zajistit dostupnost nebo odpovídající zástup Odpovědné osoby </w:t>
      </w:r>
      <w:r>
        <w:t>z</w:t>
      </w:r>
      <w:r w:rsidRPr="00833402">
        <w:t xml:space="preserve">adavatele, vyhrazení odpovídajících časových kapacit Odpovědné osoby </w:t>
      </w:r>
      <w:r>
        <w:t>z</w:t>
      </w:r>
      <w:r w:rsidRPr="00833402">
        <w:t xml:space="preserve">adavatele a zajištění efektivní součinnosti odborných pracovníků </w:t>
      </w:r>
      <w:r>
        <w:t>z</w:t>
      </w:r>
      <w:r w:rsidRPr="00833402">
        <w:t>adavatele,</w:t>
      </w:r>
    </w:p>
    <w:p w14:paraId="7A5BC7ED" w14:textId="1BB32E1A" w:rsidR="00DB74DB" w:rsidRPr="00833402" w:rsidRDefault="00DB74DB" w:rsidP="000E7C16">
      <w:pPr>
        <w:pStyle w:val="Odstavecseseznamem"/>
        <w:numPr>
          <w:ilvl w:val="0"/>
          <w:numId w:val="30"/>
        </w:numPr>
        <w:ind w:left="714" w:hanging="357"/>
        <w:contextualSpacing w:val="0"/>
      </w:pPr>
      <w:r w:rsidRPr="00833402">
        <w:lastRenderedPageBreak/>
        <w:t>zabezpečit přítomnost kvalifikované osoby, která poskytne pracovník</w:t>
      </w:r>
      <w:r>
        <w:t>ovi</w:t>
      </w:r>
      <w:r w:rsidRPr="00833402">
        <w:t xml:space="preserve"> </w:t>
      </w:r>
      <w:r>
        <w:t xml:space="preserve">dodavatele </w:t>
      </w:r>
      <w:r w:rsidRPr="00833402">
        <w:t>veškeré informace či přístupy potřebné k podpoře předmětného systému, resp. informace o zařízeních a programovém vybavení souvisejícím s předmětným systémem,</w:t>
      </w:r>
    </w:p>
    <w:p w14:paraId="2E11D5F8" w14:textId="5692B5CA" w:rsidR="00DB74DB" w:rsidRPr="00833402" w:rsidRDefault="00DB74DB" w:rsidP="000E7C16">
      <w:pPr>
        <w:pStyle w:val="Odstavecseseznamem"/>
        <w:numPr>
          <w:ilvl w:val="0"/>
          <w:numId w:val="30"/>
        </w:numPr>
        <w:ind w:left="714" w:hanging="357"/>
        <w:contextualSpacing w:val="0"/>
      </w:pPr>
      <w:r w:rsidRPr="00833402">
        <w:t xml:space="preserve">umožnit </w:t>
      </w:r>
      <w:r>
        <w:t xml:space="preserve">dodavateli </w:t>
      </w:r>
      <w:r w:rsidRPr="00833402">
        <w:t>v případě nutnosti a po předchozím oznámení odstavení technických prostředků z běžného provozu,</w:t>
      </w:r>
    </w:p>
    <w:p w14:paraId="7D4A6322" w14:textId="7E3A2E3F" w:rsidR="00DB74DB" w:rsidRPr="00833402" w:rsidRDefault="00DB74DB" w:rsidP="000E7C16">
      <w:pPr>
        <w:pStyle w:val="Odstavecseseznamem"/>
        <w:numPr>
          <w:ilvl w:val="0"/>
          <w:numId w:val="30"/>
        </w:numPr>
        <w:ind w:left="714" w:hanging="357"/>
        <w:contextualSpacing w:val="0"/>
      </w:pPr>
      <w:r w:rsidRPr="00833402">
        <w:t>zajistit součinnost třetí strany, jestliže je to pro provedení služby potřebné.</w:t>
      </w:r>
    </w:p>
    <w:p w14:paraId="29C9F99A" w14:textId="70B1CB71" w:rsidR="00DB74DB" w:rsidRPr="00833402" w:rsidRDefault="00DB74DB" w:rsidP="00DB74DB">
      <w:bookmarkStart w:id="8" w:name="OLE_LINK40"/>
      <w:bookmarkStart w:id="9" w:name="OLE_LINK41"/>
      <w:bookmarkStart w:id="10" w:name="OLE_LINK42"/>
      <w:r w:rsidRPr="00833402">
        <w:t xml:space="preserve">V případě, že nebudou uvedené podmínky </w:t>
      </w:r>
      <w:r>
        <w:t>z</w:t>
      </w:r>
      <w:r w:rsidRPr="00833402">
        <w:t>adavatelem prokazatelně zabezpečeny, lhůta pro vyřeš</w:t>
      </w:r>
      <w:bookmarkEnd w:id="8"/>
      <w:bookmarkEnd w:id="9"/>
      <w:bookmarkEnd w:id="10"/>
      <w:r w:rsidRPr="00833402">
        <w:t>ení případného Incidentu se zastaví a počítat se bude až po obnovení zabezpečení uvedených podmínek.</w:t>
      </w:r>
    </w:p>
    <w:p w14:paraId="4479524D" w14:textId="43A8AAA5" w:rsidR="00DB74DB" w:rsidRPr="00833402" w:rsidRDefault="00DB74DB" w:rsidP="00DB74DB">
      <w:r>
        <w:t xml:space="preserve">Dodavatel </w:t>
      </w:r>
      <w:r w:rsidRPr="00833402">
        <w:t xml:space="preserve">je v případě potřeby též z vlastní iniciativy oprávněn požádat </w:t>
      </w:r>
      <w:r>
        <w:t>z</w:t>
      </w:r>
      <w:r w:rsidRPr="00833402">
        <w:t xml:space="preserve">adavatele o dodatečné údaje o Incidentu a o nezbytnou součinnost </w:t>
      </w:r>
      <w:r>
        <w:t>z</w:t>
      </w:r>
      <w:r w:rsidRPr="00833402">
        <w:t>adavatele na řešení Incidentu, bez které nelze zahájit či pokračovat v řešení Incidentu. Tím se zastavuje započítávání času, což je rozhodující pro určení čistého času řešení Incidentu</w:t>
      </w:r>
      <w:r>
        <w:t>.</w:t>
      </w:r>
    </w:p>
    <w:p w14:paraId="7D572724" w14:textId="069E2AD1" w:rsidR="00DB74DB" w:rsidRPr="00833402" w:rsidRDefault="00DB74DB" w:rsidP="00DB74DB">
      <w:r w:rsidRPr="00833402">
        <w:t>Zadavatel je povinen</w:t>
      </w:r>
      <w:r>
        <w:t>:</w:t>
      </w:r>
    </w:p>
    <w:p w14:paraId="138581BF" w14:textId="6E51A703" w:rsidR="00DB74DB" w:rsidRPr="00833402" w:rsidRDefault="00DB74DB" w:rsidP="000E7C16">
      <w:pPr>
        <w:pStyle w:val="Odstavecseseznamem"/>
        <w:numPr>
          <w:ilvl w:val="0"/>
          <w:numId w:val="31"/>
        </w:numPr>
        <w:ind w:left="714" w:hanging="357"/>
        <w:contextualSpacing w:val="0"/>
      </w:pPr>
      <w:r w:rsidRPr="00833402">
        <w:t xml:space="preserve">elektronicky potvrdit </w:t>
      </w:r>
      <w:r>
        <w:t xml:space="preserve">dodavateli </w:t>
      </w:r>
      <w:r w:rsidRPr="00833402">
        <w:t>provedení služby,</w:t>
      </w:r>
    </w:p>
    <w:p w14:paraId="03CF44FF" w14:textId="7D7FE0CE" w:rsidR="00DB74DB" w:rsidRPr="00833402" w:rsidRDefault="00DB74DB" w:rsidP="000E7C16">
      <w:pPr>
        <w:pStyle w:val="Odstavecseseznamem"/>
        <w:numPr>
          <w:ilvl w:val="0"/>
          <w:numId w:val="31"/>
        </w:numPr>
        <w:ind w:left="714" w:hanging="357"/>
        <w:contextualSpacing w:val="0"/>
      </w:pPr>
      <w:r w:rsidRPr="00833402">
        <w:t>zajistit zálohování dat i programů a výměnu zálohovacích médií dle zálohovacího plánu, jejich dostupnost v případě potřeba a jejich uložení na bezpečných místech tak, aby ne</w:t>
      </w:r>
      <w:r>
        <w:t>do</w:t>
      </w:r>
      <w:r w:rsidRPr="00833402">
        <w:t>šlo k jejich ztrátě nebo poškození,</w:t>
      </w:r>
    </w:p>
    <w:p w14:paraId="41969E7D" w14:textId="6A5A98AF" w:rsidR="00DB74DB" w:rsidRDefault="00DB74DB" w:rsidP="000E7C16">
      <w:pPr>
        <w:pStyle w:val="Odstavecseseznamem"/>
        <w:numPr>
          <w:ilvl w:val="0"/>
          <w:numId w:val="31"/>
        </w:numPr>
        <w:ind w:left="714" w:hanging="357"/>
        <w:contextualSpacing w:val="0"/>
      </w:pPr>
      <w:r w:rsidRPr="00833402">
        <w:t>poskytovat potřebné nebo vyžádané informace a podklady včetně dokumentace k</w:t>
      </w:r>
      <w:r>
        <w:t> </w:t>
      </w:r>
      <w:r w:rsidRPr="00833402">
        <w:t>předmětnému systému nebo zařízení a programovému vybavení, které s ním souvisí</w:t>
      </w:r>
      <w:r>
        <w:t>.</w:t>
      </w:r>
    </w:p>
    <w:p w14:paraId="09D80F46" w14:textId="77777777" w:rsidR="009F0177" w:rsidRPr="00833402" w:rsidRDefault="009F0177" w:rsidP="009F0177"/>
    <w:p w14:paraId="30F7C2A2" w14:textId="77777777" w:rsidR="00DB74DB" w:rsidRPr="00833402" w:rsidRDefault="00DB74DB" w:rsidP="00DB74DB">
      <w:pPr>
        <w:pStyle w:val="Nadpis2"/>
      </w:pPr>
      <w:r w:rsidRPr="00833402">
        <w:t xml:space="preserve">Postup při řešení </w:t>
      </w:r>
      <w:r>
        <w:t>incidentů</w:t>
      </w:r>
    </w:p>
    <w:p w14:paraId="2BF284E3" w14:textId="529FEB69" w:rsidR="00DB74DB" w:rsidRPr="00833402" w:rsidRDefault="00DB74DB" w:rsidP="00DB74DB">
      <w:r w:rsidRPr="00833402">
        <w:t xml:space="preserve">Zadavatel bude </w:t>
      </w:r>
      <w:r>
        <w:t>incident</w:t>
      </w:r>
      <w:r w:rsidRPr="00833402">
        <w:t xml:space="preserve"> oznamovat </w:t>
      </w:r>
      <w:r>
        <w:t xml:space="preserve">dodavateli </w:t>
      </w:r>
      <w:r w:rsidRPr="00833402">
        <w:t>bez zbytečného odkladu jedním ze způsobů a</w:t>
      </w:r>
      <w:r>
        <w:t> </w:t>
      </w:r>
      <w:r w:rsidRPr="00833402">
        <w:t>na</w:t>
      </w:r>
      <w:r>
        <w:t> </w:t>
      </w:r>
      <w:r w:rsidRPr="00833402">
        <w:t xml:space="preserve">kontaktních místech uvedených ve Smlouvě o zabezpečení provozu, kam budou mít zajištěny přístup pověřené osoby </w:t>
      </w:r>
      <w:r>
        <w:t>z</w:t>
      </w:r>
      <w:r w:rsidRPr="00833402">
        <w:t xml:space="preserve">adavatele. </w:t>
      </w:r>
    </w:p>
    <w:p w14:paraId="5E7303FA" w14:textId="77777777" w:rsidR="009F0177" w:rsidRDefault="009F0177" w:rsidP="00DB74DB"/>
    <w:p w14:paraId="11E0CF9C" w14:textId="0F08C4CF" w:rsidR="00DB74DB" w:rsidRPr="00833402" w:rsidRDefault="00DB74DB" w:rsidP="00DB74DB">
      <w:r w:rsidRPr="00833402">
        <w:t xml:space="preserve">Součástí nahlášení požadavku </w:t>
      </w:r>
      <w:r>
        <w:t>z</w:t>
      </w:r>
      <w:r w:rsidRPr="00833402">
        <w:t>adavatelem musí být:</w:t>
      </w:r>
    </w:p>
    <w:p w14:paraId="788950A9" w14:textId="0000D319" w:rsidR="00DB74DB" w:rsidRPr="00833402" w:rsidRDefault="00DB74DB" w:rsidP="000E7C16">
      <w:pPr>
        <w:pStyle w:val="Odstavecseseznamem"/>
        <w:numPr>
          <w:ilvl w:val="0"/>
          <w:numId w:val="32"/>
        </w:numPr>
        <w:ind w:left="714" w:hanging="357"/>
        <w:contextualSpacing w:val="0"/>
      </w:pPr>
      <w:r w:rsidRPr="00833402">
        <w:t xml:space="preserve">navrhovaná kategorizace a závažnost, </w:t>
      </w:r>
    </w:p>
    <w:p w14:paraId="46E85E0D" w14:textId="3541AA2F" w:rsidR="00DB74DB" w:rsidRPr="00833402" w:rsidRDefault="00DB74DB" w:rsidP="000E7C16">
      <w:pPr>
        <w:pStyle w:val="Odstavecseseznamem"/>
        <w:numPr>
          <w:ilvl w:val="0"/>
          <w:numId w:val="32"/>
        </w:numPr>
        <w:ind w:left="714" w:hanging="357"/>
        <w:contextualSpacing w:val="0"/>
      </w:pPr>
      <w:r w:rsidRPr="00833402">
        <w:t>popis Incidentu nebo Požadavku,</w:t>
      </w:r>
    </w:p>
    <w:p w14:paraId="5B6CFFE6" w14:textId="7DD177B1" w:rsidR="00DB74DB" w:rsidRPr="00833402" w:rsidRDefault="00DB74DB" w:rsidP="000E7C16">
      <w:pPr>
        <w:pStyle w:val="Odstavecseseznamem"/>
        <w:numPr>
          <w:ilvl w:val="0"/>
          <w:numId w:val="32"/>
        </w:numPr>
        <w:ind w:left="714" w:hanging="357"/>
        <w:contextualSpacing w:val="0"/>
      </w:pPr>
      <w:r w:rsidRPr="00833402">
        <w:t>jiné relevantní upřesňující informace, včetně případných textových či obrazových příloh</w:t>
      </w:r>
      <w:r>
        <w:t xml:space="preserve"> nezbytných pro replikaci incidentu</w:t>
      </w:r>
      <w:r w:rsidRPr="00833402">
        <w:t>,</w:t>
      </w:r>
    </w:p>
    <w:p w14:paraId="7FA1F8F6" w14:textId="27EC2BE4" w:rsidR="00DB74DB" w:rsidRPr="00833402" w:rsidRDefault="00DB74DB" w:rsidP="000E7C16">
      <w:pPr>
        <w:pStyle w:val="Odstavecseseznamem"/>
        <w:numPr>
          <w:ilvl w:val="0"/>
          <w:numId w:val="32"/>
        </w:numPr>
        <w:ind w:left="714" w:hanging="357"/>
        <w:contextualSpacing w:val="0"/>
      </w:pPr>
      <w:r w:rsidRPr="00833402">
        <w:t>kontaktní osoba.</w:t>
      </w:r>
    </w:p>
    <w:p w14:paraId="03D8F07A" w14:textId="7B82A10A" w:rsidR="00DB74DB" w:rsidRPr="00833402" w:rsidRDefault="00DB74DB" w:rsidP="00DB74DB">
      <w:r>
        <w:t xml:space="preserve">Dodavatelem </w:t>
      </w:r>
      <w:r w:rsidRPr="00833402">
        <w:t>používaný systém pro HelpDesk musí pokrýt uvedené informace pro nahlášení požadavku.</w:t>
      </w:r>
    </w:p>
    <w:p w14:paraId="348E3C95" w14:textId="0FD71172" w:rsidR="00DB74DB" w:rsidRPr="00833402" w:rsidRDefault="00DB74DB" w:rsidP="00DB74DB">
      <w:r w:rsidRPr="00833402">
        <w:t xml:space="preserve">Incidenty musí být před jejich nahlášením začleněny do skupin, viz dále a dle těchto skupin bude </w:t>
      </w:r>
      <w:r>
        <w:t xml:space="preserve">dodavatel </w:t>
      </w:r>
      <w:r w:rsidRPr="00833402">
        <w:t>přistupovat k jejich řešení:</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DB74DB" w:rsidRPr="00DB74DB" w14:paraId="05879715" w14:textId="77777777" w:rsidTr="000E7C16">
        <w:tc>
          <w:tcPr>
            <w:tcW w:w="9067" w:type="dxa"/>
            <w:shd w:val="clear" w:color="auto" w:fill="D9D9D9" w:themeFill="background1" w:themeFillShade="D9"/>
          </w:tcPr>
          <w:p w14:paraId="52EA673E" w14:textId="77777777" w:rsidR="00DB74DB" w:rsidRPr="00DB74DB" w:rsidRDefault="00DB74DB" w:rsidP="00DB74DB">
            <w:pPr>
              <w:spacing w:before="60" w:after="60"/>
              <w:jc w:val="left"/>
              <w:rPr>
                <w:rFonts w:cs="Arial"/>
                <w:szCs w:val="20"/>
              </w:rPr>
            </w:pPr>
            <w:r w:rsidRPr="00DB74DB">
              <w:rPr>
                <w:rFonts w:cs="Arial"/>
                <w:szCs w:val="20"/>
              </w:rPr>
              <w:t>Incident/vada kategorie A</w:t>
            </w:r>
          </w:p>
        </w:tc>
      </w:tr>
      <w:tr w:rsidR="00DB74DB" w:rsidRPr="00DB74DB" w14:paraId="67D360A1" w14:textId="77777777" w:rsidTr="000E7C16">
        <w:tc>
          <w:tcPr>
            <w:tcW w:w="9067" w:type="dxa"/>
          </w:tcPr>
          <w:p w14:paraId="3DBBC723" w14:textId="77777777" w:rsidR="00DB74DB" w:rsidRPr="00DB74DB" w:rsidRDefault="00DB74DB" w:rsidP="00DB74DB">
            <w:pPr>
              <w:spacing w:before="60" w:after="60"/>
              <w:rPr>
                <w:rFonts w:cs="Arial"/>
                <w:szCs w:val="20"/>
              </w:rPr>
            </w:pPr>
            <w:r w:rsidRPr="00DB74DB">
              <w:rPr>
                <w:rFonts w:cs="Arial"/>
                <w:szCs w:val="20"/>
              </w:rPr>
              <w:t xml:space="preserve">Předmět plnění není použitelný ve svých základních funkcích nebo se vyskytuje funkční závada znemožňující jeho používání. Tento stav může ohrozit běžný provoz, případně může způsobit větší finanční nebo jiné škody. </w:t>
            </w:r>
          </w:p>
        </w:tc>
      </w:tr>
      <w:tr w:rsidR="00DB74DB" w:rsidRPr="00DB74DB" w14:paraId="2B856BA2" w14:textId="77777777" w:rsidTr="000E7C16">
        <w:tc>
          <w:tcPr>
            <w:tcW w:w="9067" w:type="dxa"/>
            <w:shd w:val="clear" w:color="auto" w:fill="D9D9D9" w:themeFill="background1" w:themeFillShade="D9"/>
          </w:tcPr>
          <w:p w14:paraId="332EF54D" w14:textId="77777777" w:rsidR="00DB74DB" w:rsidRPr="00DB74DB" w:rsidRDefault="00DB74DB" w:rsidP="00DB74DB">
            <w:pPr>
              <w:spacing w:before="60" w:after="60"/>
              <w:rPr>
                <w:rFonts w:cs="Arial"/>
                <w:szCs w:val="20"/>
              </w:rPr>
            </w:pPr>
            <w:r w:rsidRPr="00DB74DB">
              <w:rPr>
                <w:rFonts w:cs="Arial"/>
                <w:szCs w:val="20"/>
              </w:rPr>
              <w:t>Incident/vada kategorie B</w:t>
            </w:r>
          </w:p>
        </w:tc>
      </w:tr>
      <w:tr w:rsidR="00DB74DB" w:rsidRPr="00DB74DB" w14:paraId="7735E83C" w14:textId="77777777" w:rsidTr="000E7C16">
        <w:tc>
          <w:tcPr>
            <w:tcW w:w="9067" w:type="dxa"/>
          </w:tcPr>
          <w:p w14:paraId="387EE577" w14:textId="77777777" w:rsidR="00DB74DB" w:rsidRPr="00DB74DB" w:rsidRDefault="00DB74DB" w:rsidP="00DB74DB">
            <w:pPr>
              <w:spacing w:before="60" w:after="60"/>
              <w:rPr>
                <w:rFonts w:cs="Arial"/>
                <w:szCs w:val="20"/>
              </w:rPr>
            </w:pPr>
            <w:r w:rsidRPr="00DB74DB">
              <w:rPr>
                <w:rFonts w:cs="Arial"/>
                <w:szCs w:val="20"/>
              </w:rPr>
              <w:t>Předmět plnění je ve svých funkcích degradován tak, že tento stav omezuje běžný provoz.</w:t>
            </w:r>
          </w:p>
        </w:tc>
      </w:tr>
      <w:tr w:rsidR="00DB74DB" w:rsidRPr="00DB74DB" w14:paraId="30F7DB2A" w14:textId="77777777" w:rsidTr="000E7C16">
        <w:tc>
          <w:tcPr>
            <w:tcW w:w="9067" w:type="dxa"/>
            <w:shd w:val="clear" w:color="auto" w:fill="D9D9D9" w:themeFill="background1" w:themeFillShade="D9"/>
          </w:tcPr>
          <w:p w14:paraId="6A1B361D" w14:textId="77777777" w:rsidR="00DB74DB" w:rsidRPr="00DB74DB" w:rsidRDefault="00DB74DB" w:rsidP="00DB74DB">
            <w:pPr>
              <w:spacing w:before="60" w:after="60"/>
              <w:rPr>
                <w:rFonts w:cs="Arial"/>
                <w:szCs w:val="20"/>
              </w:rPr>
            </w:pPr>
            <w:r w:rsidRPr="00DB74DB">
              <w:rPr>
                <w:rFonts w:cs="Arial"/>
                <w:szCs w:val="20"/>
              </w:rPr>
              <w:t xml:space="preserve">Incident/vada kategorie C </w:t>
            </w:r>
          </w:p>
        </w:tc>
      </w:tr>
      <w:tr w:rsidR="00DB74DB" w:rsidRPr="00DB74DB" w14:paraId="1C799882" w14:textId="77777777" w:rsidTr="000E7C16">
        <w:tc>
          <w:tcPr>
            <w:tcW w:w="9067" w:type="dxa"/>
          </w:tcPr>
          <w:p w14:paraId="2F9FB1ED" w14:textId="0187B5B5" w:rsidR="00DB74DB" w:rsidRPr="00DB74DB" w:rsidRDefault="00DB74DB" w:rsidP="00DB74DB">
            <w:pPr>
              <w:spacing w:before="60" w:after="60"/>
              <w:rPr>
                <w:rFonts w:cs="Arial"/>
                <w:szCs w:val="20"/>
              </w:rPr>
            </w:pPr>
            <w:r w:rsidRPr="00DB74DB">
              <w:rPr>
                <w:rFonts w:cs="Arial"/>
                <w:szCs w:val="20"/>
              </w:rPr>
              <w:lastRenderedPageBreak/>
              <w:t xml:space="preserve">Ostatní </w:t>
            </w:r>
            <w:r w:rsidR="009F0177">
              <w:rPr>
                <w:rFonts w:cs="Arial"/>
                <w:szCs w:val="20"/>
              </w:rPr>
              <w:t xml:space="preserve">– </w:t>
            </w:r>
            <w:r w:rsidRPr="00DB74DB">
              <w:rPr>
                <w:rFonts w:cs="Arial"/>
                <w:szCs w:val="20"/>
              </w:rPr>
              <w:t>drobné incidenty/vady, které nespadají do kategorií A a/nebo B a které nejsou způsobeny software třetích stran.</w:t>
            </w:r>
          </w:p>
        </w:tc>
      </w:tr>
      <w:tr w:rsidR="00DB74DB" w:rsidRPr="00DB74DB" w14:paraId="45F53235" w14:textId="77777777" w:rsidTr="000E7C16">
        <w:tc>
          <w:tcPr>
            <w:tcW w:w="9067" w:type="dxa"/>
            <w:shd w:val="clear" w:color="auto" w:fill="D9D9D9" w:themeFill="background1" w:themeFillShade="D9"/>
          </w:tcPr>
          <w:p w14:paraId="7FDC6AAC" w14:textId="77777777" w:rsidR="00DB74DB" w:rsidRPr="00DB74DB" w:rsidRDefault="00DB74DB" w:rsidP="00DB74DB">
            <w:pPr>
              <w:spacing w:before="60" w:after="60"/>
              <w:rPr>
                <w:rFonts w:cs="Arial"/>
                <w:szCs w:val="20"/>
              </w:rPr>
            </w:pPr>
            <w:r w:rsidRPr="00DB74DB">
              <w:rPr>
                <w:rFonts w:cs="Arial"/>
                <w:szCs w:val="20"/>
              </w:rPr>
              <w:t xml:space="preserve">Incident/vada kategorie D </w:t>
            </w:r>
          </w:p>
        </w:tc>
      </w:tr>
      <w:tr w:rsidR="00DB74DB" w:rsidRPr="00DB74DB" w14:paraId="4AE357BC" w14:textId="77777777" w:rsidTr="000E7C16">
        <w:tc>
          <w:tcPr>
            <w:tcW w:w="9067" w:type="dxa"/>
          </w:tcPr>
          <w:p w14:paraId="6A94007B" w14:textId="77777777" w:rsidR="00DB74DB" w:rsidRPr="00DB74DB" w:rsidRDefault="00DB74DB" w:rsidP="00DB74DB">
            <w:pPr>
              <w:spacing w:before="60" w:after="60"/>
              <w:rPr>
                <w:rFonts w:cs="Arial"/>
                <w:szCs w:val="20"/>
              </w:rPr>
            </w:pPr>
            <w:r w:rsidRPr="00DB74DB">
              <w:rPr>
                <w:rFonts w:cs="Arial"/>
                <w:szCs w:val="20"/>
              </w:rPr>
              <w:t>Incidenty/vady, které jsou způsobeny software třetích stran.</w:t>
            </w:r>
          </w:p>
        </w:tc>
      </w:tr>
    </w:tbl>
    <w:p w14:paraId="193EE98F" w14:textId="67953C16" w:rsidR="00DB74DB" w:rsidRPr="00833402" w:rsidRDefault="00DB74DB" w:rsidP="00DB74DB">
      <w:bookmarkStart w:id="11" w:name="_Hlk151409311"/>
      <w:r>
        <w:t>Dodavatel</w:t>
      </w:r>
      <w:bookmarkEnd w:id="11"/>
      <w:r>
        <w:t xml:space="preserve"> neprodleně </w:t>
      </w:r>
      <w:r w:rsidRPr="00833402">
        <w:t xml:space="preserve">potvrdí obdržení požadavku v systému HelpDesk a poskytne </w:t>
      </w:r>
      <w:r>
        <w:t>z</w:t>
      </w:r>
      <w:r w:rsidRPr="00833402">
        <w:t xml:space="preserve">adavateli informace o předpokládaném způsobu řešení požadavku, požadavcích na součinnost </w:t>
      </w:r>
      <w:r>
        <w:t>z</w:t>
      </w:r>
      <w:r w:rsidRPr="00833402">
        <w:t>adavatele a</w:t>
      </w:r>
      <w:r>
        <w:t> </w:t>
      </w:r>
      <w:r w:rsidRPr="00833402">
        <w:t xml:space="preserve">předpokládaný termín vyřešení požadavku. </w:t>
      </w:r>
    </w:p>
    <w:p w14:paraId="1D92C4A1" w14:textId="33DA2C49" w:rsidR="00DB74DB" w:rsidRDefault="00DB74DB" w:rsidP="00DB74DB">
      <w:r>
        <w:t>Dodavatel má právo změnit kategorii incidentu v případě, že zadavatelem uvedená kategorie neodpovídá závažnosti incidentu. Změnu musí v HelpDesku zdůvodnit.</w:t>
      </w:r>
    </w:p>
    <w:p w14:paraId="228E1860" w14:textId="6E43F10A" w:rsidR="00DB74DB" w:rsidRPr="00833402" w:rsidRDefault="00DB74DB" w:rsidP="00DB74DB">
      <w:r>
        <w:t>Dodavatel</w:t>
      </w:r>
      <w:r w:rsidRPr="00833402">
        <w:t xml:space="preserve"> v průběhu řešení požadavku, pokud mu to charakter požadavku a způsob řešení umožňuje, průběžně informuje </w:t>
      </w:r>
      <w:r>
        <w:t>z</w:t>
      </w:r>
      <w:r w:rsidRPr="00833402">
        <w:t xml:space="preserve">adavatele o aktuálním stavu a případných změnách v předpokládaném způsobu, požadované součinnosti a termínů vyřešení. V případě že </w:t>
      </w:r>
      <w:r>
        <w:t>dodavatel</w:t>
      </w:r>
      <w:r w:rsidRPr="00833402">
        <w:t xml:space="preserve"> v průběhu řešení požadavku zjistí, že se jedná o Incident, jehož zdroj je prvek třetích stran, informuje </w:t>
      </w:r>
      <w:r>
        <w:t>z</w:t>
      </w:r>
      <w:r w:rsidRPr="00833402">
        <w:t xml:space="preserve">adavatele o této skutečnosti, předpokládaném způsobu, požadované součinnosti a termínů vyřešení – zároveň přeřadí Incident do kategorie D a pokračuje v řešení v režimu BE (Best </w:t>
      </w:r>
      <w:proofErr w:type="spellStart"/>
      <w:r w:rsidRPr="00833402">
        <w:t>Effort</w:t>
      </w:r>
      <w:proofErr w:type="spellEnd"/>
      <w:r w:rsidRPr="00833402">
        <w:t>)</w:t>
      </w:r>
      <w:r>
        <w:t xml:space="preserve"> tzn. dodavatel</w:t>
      </w:r>
      <w:r w:rsidRPr="00206D40">
        <w:t xml:space="preserve"> vyvine maximální možné úsilí na provedení požadavku a zejména na zajištění požadovaných parametrů </w:t>
      </w:r>
      <w:r>
        <w:t>předmětu plnění</w:t>
      </w:r>
      <w:r w:rsidRPr="00206D40">
        <w:t xml:space="preserve"> v nejkratší možné době.</w:t>
      </w:r>
    </w:p>
    <w:p w14:paraId="4049E415" w14:textId="5A23C24E" w:rsidR="00DB74DB" w:rsidRPr="00833402" w:rsidRDefault="00DB74DB" w:rsidP="00DB74DB">
      <w:r w:rsidRPr="00833402">
        <w:t xml:space="preserve">Zjistí-li </w:t>
      </w:r>
      <w:r>
        <w:t>dodavatel</w:t>
      </w:r>
      <w:r w:rsidRPr="00833402">
        <w:t xml:space="preserve"> v průběhu řešení Incidentu, že Incident je neodstranitelný, je v rámci Běžné pracovní doby povinen nepřetržitě pracovat na náhradním řešení a informovat o tomto stavu </w:t>
      </w:r>
      <w:r>
        <w:t>z</w:t>
      </w:r>
      <w:r w:rsidRPr="00833402">
        <w:t xml:space="preserve">adavatele. Výskyt neodstranitelného Incidentu může být ze strany </w:t>
      </w:r>
      <w:r>
        <w:t>z</w:t>
      </w:r>
      <w:r w:rsidRPr="00833402">
        <w:t xml:space="preserve">adavatele považován za podstatné porušení smlouvy v případech, že Incident byl způsoben předchozím přímým jednáním </w:t>
      </w:r>
      <w:r>
        <w:t>dodavatele</w:t>
      </w:r>
      <w:r w:rsidRPr="00833402">
        <w:t>, pokud o nich mohl mít s vynaložením veškeré odborné péče povědomost.</w:t>
      </w:r>
    </w:p>
    <w:p w14:paraId="6DBFBEDC" w14:textId="37017D70" w:rsidR="00DB74DB" w:rsidRPr="00833402" w:rsidRDefault="00DB74DB" w:rsidP="00DB74DB">
      <w:r w:rsidRPr="00833402">
        <w:t xml:space="preserve">Zjistí-li </w:t>
      </w:r>
      <w:r>
        <w:t>dodavatel</w:t>
      </w:r>
      <w:r w:rsidRPr="00833402">
        <w:t xml:space="preserve"> v průběhu řešení Incidentu, že Incident má přímou souvislost s neodborným či neoprávněným jednáním osob </w:t>
      </w:r>
      <w:r>
        <w:t>z</w:t>
      </w:r>
      <w:r w:rsidRPr="00833402">
        <w:t xml:space="preserve">adavatele případně byl Incident vyvolán produkty či službami třetí osoby, je </w:t>
      </w:r>
      <w:r>
        <w:t>dodavatel</w:t>
      </w:r>
      <w:r w:rsidRPr="00833402">
        <w:t xml:space="preserve"> povinen bezodkladně informovat o tomto stavu </w:t>
      </w:r>
      <w:r>
        <w:t>z</w:t>
      </w:r>
      <w:r w:rsidRPr="00833402">
        <w:t xml:space="preserve">adavatele. Zadavatel se zavazuje bezodkladně uhradit v plné výši náklady nad rámec této smlouvy </w:t>
      </w:r>
      <w:r>
        <w:t>dodavatelem</w:t>
      </w:r>
      <w:r w:rsidRPr="00833402">
        <w:t xml:space="preserve"> prokazatelně vynaložené k řešení Incidentu, přičemž samotná identifikace Incidentu je součástí plnění smlouvy. </w:t>
      </w:r>
    </w:p>
    <w:p w14:paraId="7009F7D4" w14:textId="1AD2A21C" w:rsidR="00DB74DB" w:rsidRPr="00833402" w:rsidRDefault="00DB74DB" w:rsidP="00DB74DB">
      <w:r w:rsidRPr="00833402">
        <w:t xml:space="preserve">Zadavatel je oprávněn dořešení Incidentu kdykoliv zastavit či pozastavit, přičemž nárok </w:t>
      </w:r>
      <w:r>
        <w:t>dodavatele</w:t>
      </w:r>
      <w:r w:rsidRPr="00833402">
        <w:t xml:space="preserve"> na</w:t>
      </w:r>
      <w:r>
        <w:t> </w:t>
      </w:r>
      <w:r w:rsidRPr="00833402">
        <w:t>úhradu již vynaložených prostředků zůstává nedotčen. Incident je v tomto případě považován za vyřešený.</w:t>
      </w:r>
    </w:p>
    <w:p w14:paraId="49756E3C" w14:textId="77777777" w:rsidR="00DB74DB" w:rsidRPr="00833402" w:rsidRDefault="00DB74DB" w:rsidP="00DB74DB">
      <w:r w:rsidRPr="00833402">
        <w:t>V případě úspěšného vyřešení požadavku, je řešitel před ukončením požadavku povinen provést ověření funkčnosti služby (pokud je to možné). Iniciátora Incidentu informuje o:</w:t>
      </w:r>
    </w:p>
    <w:p w14:paraId="3912D521" w14:textId="4E951357" w:rsidR="00DB74DB" w:rsidRPr="00833402" w:rsidRDefault="00DB74DB" w:rsidP="000E7C16">
      <w:pPr>
        <w:pStyle w:val="Odstavecseseznamem"/>
        <w:numPr>
          <w:ilvl w:val="0"/>
          <w:numId w:val="33"/>
        </w:numPr>
        <w:ind w:left="714" w:hanging="357"/>
        <w:contextualSpacing w:val="0"/>
      </w:pPr>
      <w:r w:rsidRPr="00833402">
        <w:t>čase vyřešení požadavku,</w:t>
      </w:r>
    </w:p>
    <w:p w14:paraId="22872AF5" w14:textId="7EE83EBB" w:rsidR="00DB74DB" w:rsidRPr="00833402" w:rsidRDefault="00DB74DB" w:rsidP="000E7C16">
      <w:pPr>
        <w:pStyle w:val="Odstavecseseznamem"/>
        <w:numPr>
          <w:ilvl w:val="0"/>
          <w:numId w:val="33"/>
        </w:numPr>
        <w:ind w:left="714" w:hanging="357"/>
        <w:contextualSpacing w:val="0"/>
      </w:pPr>
      <w:r w:rsidRPr="00833402">
        <w:t>v případě Incidentu specifikuje příčinu (pokud je známa),</w:t>
      </w:r>
    </w:p>
    <w:p w14:paraId="3687B5EC" w14:textId="7DFC870D" w:rsidR="00DB74DB" w:rsidRPr="00833402" w:rsidRDefault="00DB74DB" w:rsidP="000E7C16">
      <w:pPr>
        <w:pStyle w:val="Odstavecseseznamem"/>
        <w:numPr>
          <w:ilvl w:val="0"/>
          <w:numId w:val="33"/>
        </w:numPr>
        <w:ind w:left="714" w:hanging="357"/>
        <w:contextualSpacing w:val="0"/>
      </w:pPr>
      <w:r w:rsidRPr="00833402">
        <w:t>vyzve iniciátora k ověření funkčnosti služby.</w:t>
      </w:r>
    </w:p>
    <w:p w14:paraId="0F5AEC10" w14:textId="64B1AD67" w:rsidR="00DB74DB" w:rsidRPr="00833402" w:rsidRDefault="00DB74DB" w:rsidP="00DB74DB">
      <w:r w:rsidRPr="00833402">
        <w:t xml:space="preserve">Po ověření funkčnosti ze strany </w:t>
      </w:r>
      <w:r>
        <w:t>z</w:t>
      </w:r>
      <w:r w:rsidRPr="00833402">
        <w:t>adavatele se Požadavek považuje za vyřešený.</w:t>
      </w:r>
    </w:p>
    <w:p w14:paraId="2E1EE6AC" w14:textId="425C3C62" w:rsidR="00DB74DB" w:rsidRPr="00833402" w:rsidRDefault="00DB74DB" w:rsidP="00DB74DB">
      <w:r w:rsidRPr="00833402">
        <w:t xml:space="preserve">Po vyřešení požadavku </w:t>
      </w:r>
      <w:r>
        <w:t>dodavatel</w:t>
      </w:r>
      <w:r w:rsidRPr="00833402">
        <w:t xml:space="preserve"> požadavek uzavře v systému HelpDesk a informuje </w:t>
      </w:r>
      <w:r>
        <w:t>z</w:t>
      </w:r>
      <w:r w:rsidRPr="00833402">
        <w:t>adavatele. V</w:t>
      </w:r>
      <w:r>
        <w:t> </w:t>
      </w:r>
      <w:r w:rsidRPr="00833402">
        <w:t>případě Incidentu kategorie A zasílá návrh opatření pro snížení nebo eliminaci možnosti opakování stejného Incidentu.</w:t>
      </w:r>
    </w:p>
    <w:p w14:paraId="528596F4" w14:textId="0B920A26" w:rsidR="00DB312C" w:rsidRDefault="00DB74DB" w:rsidP="00DB74DB">
      <w:r w:rsidRPr="00833402">
        <w:t>Zadavatel má právo ve lhůtě 10 dnů od uzavření požadavku vznést výhrady nebo připomínky ke</w:t>
      </w:r>
      <w:r>
        <w:t> </w:t>
      </w:r>
      <w:r w:rsidRPr="00833402">
        <w:t xml:space="preserve">způsobu řešení nebo k výslednému stavu; v takovém případě se požadavek nepovažuje za uzavřený a </w:t>
      </w:r>
      <w:r>
        <w:t xml:space="preserve">smluvní strany </w:t>
      </w:r>
      <w:r w:rsidRPr="00833402">
        <w:t xml:space="preserve">se zavazují zahájit společné jednání za účelem odstranění veškerých vzájemných rozporů a nalezení shody nad způsobem řešení nebo výsledném stavu, a to nejpozději do pěti (5) pracovních dnů od výzvy kterékoliv </w:t>
      </w:r>
      <w:r>
        <w:t>ze smluvních stran</w:t>
      </w:r>
      <w:r w:rsidRPr="00833402">
        <w:t>.</w:t>
      </w:r>
    </w:p>
    <w:p w14:paraId="51C564D4" w14:textId="77777777" w:rsidR="009F0177" w:rsidRDefault="009F0177" w:rsidP="00DB74DB"/>
    <w:p w14:paraId="48BE106C" w14:textId="77777777" w:rsidR="00DB74DB" w:rsidRPr="00833402" w:rsidRDefault="00DB74DB" w:rsidP="00DB74DB">
      <w:pPr>
        <w:pStyle w:val="Nadpis2"/>
      </w:pPr>
      <w:r w:rsidRPr="00833402">
        <w:lastRenderedPageBreak/>
        <w:t xml:space="preserve">Záruky </w:t>
      </w:r>
      <w:r>
        <w:t>na servisní služby</w:t>
      </w:r>
    </w:p>
    <w:p w14:paraId="3E88DD92" w14:textId="77777777" w:rsidR="00DB74DB" w:rsidRPr="00833402" w:rsidRDefault="00DB74DB" w:rsidP="00DB74DB">
      <w:r w:rsidRPr="00833402">
        <w:t>Zadavatel požaduje záruku na veškeré servisní služby provedené v rámci podpor</w:t>
      </w:r>
      <w:r>
        <w:t>y</w:t>
      </w:r>
      <w:r w:rsidRPr="00833402">
        <w:t xml:space="preserve"> provozu v délce trvání minimálně 3 měsíců (není-li u konkrétní služby uvedeno jinak) od okamžiku realizace. Veškeré opravy po dobu záruky budou bez dalších nákladů pro provozovatele. </w:t>
      </w:r>
    </w:p>
    <w:sectPr w:rsidR="00DB74DB" w:rsidRPr="00833402" w:rsidSect="00F21409">
      <w:headerReference w:type="even" r:id="rId9"/>
      <w:headerReference w:type="default" r:id="rId10"/>
      <w:footerReference w:type="even" r:id="rId11"/>
      <w:footerReference w:type="default" r:id="rId12"/>
      <w:headerReference w:type="first" r:id="rId13"/>
      <w:pgSz w:w="11906" w:h="16838" w:code="9"/>
      <w:pgMar w:top="1701" w:right="1418" w:bottom="1418" w:left="1418" w:header="568" w:footer="8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F8B9" w14:textId="77777777" w:rsidR="009654AF" w:rsidRDefault="009654AF" w:rsidP="00CD7C94">
      <w:pPr>
        <w:spacing w:before="0" w:after="0"/>
      </w:pPr>
      <w:r>
        <w:separator/>
      </w:r>
    </w:p>
  </w:endnote>
  <w:endnote w:type="continuationSeparator" w:id="0">
    <w:p w14:paraId="19FC23A1" w14:textId="77777777" w:rsidR="009654AF" w:rsidRDefault="009654AF" w:rsidP="00CD7C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Times New Roman"/>
    <w:charset w:val="00"/>
    <w:family w:val="auto"/>
    <w:pitch w:val="default"/>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
    <w:altName w:val="MS Gothic"/>
    <w:charset w:val="80"/>
    <w:family w:val="auto"/>
    <w:pitch w:val="variable"/>
    <w:sig w:usb0="00000000" w:usb1="08070000" w:usb2="00000010" w:usb3="00000000" w:csb0="00020000" w:csb1="00000000"/>
  </w:font>
  <w:font w:name="Liberation Serif">
    <w:altName w:val="MS Gothic"/>
    <w:charset w:val="8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DejaVu Sans">
    <w:altName w:val="MS Gothic"/>
    <w:charset w:val="EE"/>
    <w:family w:val="swiss"/>
    <w:pitch w:val="variable"/>
    <w:sig w:usb0="E7002EFF" w:usb1="D200FDFF" w:usb2="0A246029" w:usb3="00000000" w:csb0="000001FF" w:csb1="00000000"/>
  </w:font>
  <w:font w:name="Liberation Mono">
    <w:altName w:val="Calibri"/>
    <w:charset w:val="EE"/>
    <w:family w:val="modern"/>
    <w:pitch w:val="fixed"/>
    <w:sig w:usb0="E0000AFF" w:usb1="400078FF" w:usb2="00000001" w:usb3="00000000" w:csb0="000001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E932" w14:textId="77777777" w:rsidR="00367D46" w:rsidRDefault="00367D46" w:rsidP="009100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p>
  <w:p w14:paraId="6013F9A1" w14:textId="77777777" w:rsidR="00367D46" w:rsidRDefault="00367D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5294" w14:textId="59A7F79A" w:rsidR="00367D46" w:rsidRPr="00421D2C" w:rsidRDefault="00603876" w:rsidP="00625F68">
    <w:pPr>
      <w:pStyle w:val="Zpat"/>
      <w:tabs>
        <w:tab w:val="clear" w:pos="4536"/>
        <w:tab w:val="clear" w:pos="9072"/>
      </w:tabs>
      <w:jc w:val="left"/>
      <w:rPr>
        <w:rFonts w:cs="Arial"/>
        <w:sz w:val="14"/>
        <w:szCs w:val="16"/>
      </w:rPr>
    </w:pPr>
    <w:r>
      <w:rPr>
        <w:rStyle w:val="slostrnky"/>
        <w:sz w:val="14"/>
        <w:szCs w:val="14"/>
      </w:rPr>
      <w:t xml:space="preserve">Příloha č. </w:t>
    </w:r>
    <w:r w:rsidR="000F717F">
      <w:rPr>
        <w:rStyle w:val="slostrnky"/>
        <w:sz w:val="14"/>
        <w:szCs w:val="14"/>
      </w:rPr>
      <w:t>6</w:t>
    </w:r>
    <w:r>
      <w:rPr>
        <w:rStyle w:val="slostrnky"/>
        <w:sz w:val="14"/>
        <w:szCs w:val="14"/>
      </w:rPr>
      <w:t xml:space="preserve"> </w:t>
    </w:r>
    <w:r w:rsidR="00A84696">
      <w:rPr>
        <w:rStyle w:val="slostrnky"/>
        <w:sz w:val="14"/>
        <w:szCs w:val="14"/>
      </w:rPr>
      <w:t>ZD</w:t>
    </w:r>
    <w:r w:rsidR="0055459C">
      <w:rPr>
        <w:rStyle w:val="slostrnky"/>
        <w:sz w:val="14"/>
        <w:szCs w:val="14"/>
      </w:rPr>
      <w:t xml:space="preserve"> – Technická specifikace</w:t>
    </w:r>
    <w:r w:rsidR="00AF43F4">
      <w:rPr>
        <w:rStyle w:val="slostrnky"/>
        <w:sz w:val="14"/>
        <w:szCs w:val="14"/>
      </w:rPr>
      <w:tab/>
    </w:r>
    <w:r w:rsidR="00AF43F4">
      <w:rPr>
        <w:rStyle w:val="slostrnky"/>
        <w:sz w:val="14"/>
        <w:szCs w:val="14"/>
      </w:rPr>
      <w:tab/>
    </w:r>
    <w:r w:rsidR="00AF43F4">
      <w:rPr>
        <w:rStyle w:val="slostrnky"/>
        <w:sz w:val="14"/>
        <w:szCs w:val="14"/>
      </w:rPr>
      <w:tab/>
    </w:r>
    <w:r w:rsidR="00AF43F4">
      <w:rPr>
        <w:rStyle w:val="slostrnky"/>
        <w:sz w:val="14"/>
        <w:szCs w:val="14"/>
      </w:rPr>
      <w:tab/>
    </w:r>
    <w:r w:rsidR="00F02C4A">
      <w:rPr>
        <w:rStyle w:val="slostrnky"/>
        <w:sz w:val="14"/>
        <w:szCs w:val="14"/>
      </w:rPr>
      <w:tab/>
    </w:r>
    <w:r w:rsidR="00AF43F4">
      <w:rPr>
        <w:rStyle w:val="slostrnky"/>
        <w:sz w:val="14"/>
        <w:szCs w:val="14"/>
      </w:rPr>
      <w:tab/>
    </w:r>
    <w:r w:rsidR="00AF43F4">
      <w:rPr>
        <w:rStyle w:val="slostrnky"/>
        <w:sz w:val="14"/>
        <w:szCs w:val="14"/>
      </w:rPr>
      <w:tab/>
    </w:r>
    <w:r w:rsidR="00AF43F4">
      <w:rPr>
        <w:rStyle w:val="slostrnky"/>
        <w:sz w:val="14"/>
        <w:szCs w:val="14"/>
      </w:rPr>
      <w:tab/>
    </w:r>
    <w:r w:rsidR="00AF43F4">
      <w:rPr>
        <w:rStyle w:val="slostrnky"/>
        <w:sz w:val="14"/>
        <w:szCs w:val="14"/>
      </w:rPr>
      <w:tab/>
    </w:r>
    <w:r w:rsidR="00367D46" w:rsidRPr="00421D2C">
      <w:rPr>
        <w:rFonts w:cs="Arial"/>
        <w:sz w:val="14"/>
        <w:szCs w:val="16"/>
      </w:rPr>
      <w:t>-</w:t>
    </w:r>
    <w:r w:rsidR="00221207">
      <w:rPr>
        <w:rFonts w:cs="Arial"/>
        <w:sz w:val="14"/>
        <w:szCs w:val="16"/>
      </w:rPr>
      <w:t xml:space="preserve"> </w:t>
    </w:r>
    <w:r w:rsidR="00367D46" w:rsidRPr="00421D2C">
      <w:rPr>
        <w:rFonts w:cs="Arial"/>
        <w:sz w:val="14"/>
        <w:szCs w:val="16"/>
      </w:rPr>
      <w:fldChar w:fldCharType="begin"/>
    </w:r>
    <w:r w:rsidR="00367D46" w:rsidRPr="00421D2C">
      <w:rPr>
        <w:rFonts w:cs="Arial"/>
        <w:sz w:val="14"/>
        <w:szCs w:val="16"/>
      </w:rPr>
      <w:instrText xml:space="preserve">PAGE  </w:instrText>
    </w:r>
    <w:r w:rsidR="00367D46" w:rsidRPr="00421D2C">
      <w:rPr>
        <w:rFonts w:cs="Arial"/>
        <w:sz w:val="14"/>
        <w:szCs w:val="16"/>
      </w:rPr>
      <w:fldChar w:fldCharType="separate"/>
    </w:r>
    <w:r w:rsidR="00C25366">
      <w:rPr>
        <w:rFonts w:cs="Arial"/>
        <w:noProof/>
        <w:sz w:val="14"/>
        <w:szCs w:val="16"/>
      </w:rPr>
      <w:t>14</w:t>
    </w:r>
    <w:r w:rsidR="00367D46" w:rsidRPr="00421D2C">
      <w:rPr>
        <w:rFonts w:cs="Arial"/>
        <w:sz w:val="14"/>
        <w:szCs w:val="16"/>
      </w:rPr>
      <w:fldChar w:fldCharType="end"/>
    </w:r>
    <w:r w:rsidR="00A84696">
      <w:rPr>
        <w:rFonts w:cs="Arial"/>
        <w:sz w:val="14"/>
        <w:szCs w:val="16"/>
      </w:rPr>
      <w:t xml:space="preserve"> </w:t>
    </w:r>
    <w:r w:rsidR="00367D46" w:rsidRPr="00421D2C">
      <w:rPr>
        <w:rFonts w:cs="Arial"/>
        <w:sz w:val="14"/>
        <w:szCs w:val="16"/>
      </w:rPr>
      <w:t>/</w:t>
    </w:r>
    <w:r w:rsidR="00A84696">
      <w:rPr>
        <w:rFonts w:cs="Arial"/>
        <w:sz w:val="14"/>
        <w:szCs w:val="16"/>
      </w:rPr>
      <w:t xml:space="preserve"> </w:t>
    </w:r>
    <w:r w:rsidR="00367D46" w:rsidRPr="00421D2C">
      <w:rPr>
        <w:rFonts w:cs="Arial"/>
        <w:sz w:val="14"/>
        <w:szCs w:val="16"/>
      </w:rPr>
      <w:fldChar w:fldCharType="begin"/>
    </w:r>
    <w:r w:rsidR="00367D46" w:rsidRPr="00421D2C">
      <w:rPr>
        <w:rFonts w:cs="Arial"/>
        <w:sz w:val="14"/>
        <w:szCs w:val="16"/>
      </w:rPr>
      <w:instrText xml:space="preserve"> NUMPAGES   \* MERGEFORMAT </w:instrText>
    </w:r>
    <w:r w:rsidR="00367D46" w:rsidRPr="00421D2C">
      <w:rPr>
        <w:rFonts w:cs="Arial"/>
        <w:sz w:val="14"/>
        <w:szCs w:val="16"/>
      </w:rPr>
      <w:fldChar w:fldCharType="separate"/>
    </w:r>
    <w:r w:rsidR="00C25366">
      <w:rPr>
        <w:rFonts w:cs="Arial"/>
        <w:noProof/>
        <w:sz w:val="14"/>
        <w:szCs w:val="16"/>
      </w:rPr>
      <w:t>14</w:t>
    </w:r>
    <w:r w:rsidR="00367D46" w:rsidRPr="00421D2C">
      <w:rPr>
        <w:rFonts w:cs="Arial"/>
        <w:sz w:val="14"/>
        <w:szCs w:val="16"/>
      </w:rPr>
      <w:fldChar w:fldCharType="end"/>
    </w:r>
    <w:r w:rsidR="00367D46" w:rsidRPr="00421D2C">
      <w:rPr>
        <w:rFonts w:cs="Arial"/>
        <w:sz w:val="14"/>
        <w:szCs w:val="16"/>
      </w:rPr>
      <w:t xml:space="preserve"> </w:t>
    </w:r>
    <w:r w:rsidR="000E7C16">
      <w:rPr>
        <w:rFonts w:cs="Arial"/>
        <w:sz w:val="14"/>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4F67" w14:textId="77777777" w:rsidR="009654AF" w:rsidRDefault="009654AF" w:rsidP="00CD7C94">
      <w:pPr>
        <w:spacing w:before="0" w:after="0"/>
      </w:pPr>
      <w:r>
        <w:separator/>
      </w:r>
    </w:p>
  </w:footnote>
  <w:footnote w:type="continuationSeparator" w:id="0">
    <w:p w14:paraId="041C7D9A" w14:textId="77777777" w:rsidR="009654AF" w:rsidRDefault="009654AF" w:rsidP="00CD7C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5C18" w14:textId="77777777" w:rsidR="00367D46" w:rsidRDefault="00367D4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C12F" w14:textId="77777777" w:rsidR="00A84696" w:rsidRDefault="003E606A" w:rsidP="003E606A">
    <w:pPr>
      <w:pStyle w:val="Zhlav"/>
      <w:spacing w:before="60" w:after="60"/>
      <w:ind w:left="-567"/>
      <w:jc w:val="center"/>
      <w:rPr>
        <w:noProof/>
      </w:rPr>
    </w:pPr>
    <w:bookmarkStart w:id="12" w:name="_Hlk90304015"/>
    <w:bookmarkStart w:id="13" w:name="_Hlk90304016"/>
    <w:bookmarkStart w:id="14" w:name="_Hlk81513152"/>
    <w:bookmarkStart w:id="15" w:name="_Hlk81513153"/>
    <w:r>
      <w:rPr>
        <w:noProof/>
      </w:rPr>
      <w:drawing>
        <wp:inline distT="0" distB="0" distL="0" distR="0" wp14:anchorId="0ABE0C65" wp14:editId="37EE3192">
          <wp:extent cx="5759450" cy="699135"/>
          <wp:effectExtent l="0" t="0" r="0" b="5715"/>
          <wp:docPr id="1061984903" name="Obrázek 106198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p w14:paraId="4BFF0390" w14:textId="77777777" w:rsidR="00367D46" w:rsidRPr="003E606A" w:rsidRDefault="00A84696" w:rsidP="003E606A">
    <w:pPr>
      <w:pStyle w:val="Zhlav"/>
      <w:spacing w:before="60" w:after="60"/>
      <w:ind w:left="-567"/>
      <w:jc w:val="left"/>
      <w:rPr>
        <w:i/>
        <w:iCs/>
      </w:rPr>
    </w:pPr>
    <w:r w:rsidRPr="00D03B45">
      <w:rPr>
        <w:noProof/>
      </w:rPr>
      <w:t xml:space="preserve"> </w:t>
    </w:r>
    <w:bookmarkEnd w:id="12"/>
    <w:bookmarkEnd w:id="13"/>
    <w:r w:rsidRPr="00D03B45">
      <w:rPr>
        <w:noProof/>
      </w:rPr>
      <w:tab/>
    </w:r>
    <w:r w:rsidRPr="00D03B45">
      <w:rPr>
        <w:noProof/>
      </w:rPr>
      <w:tab/>
    </w:r>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67FC" w14:textId="77777777" w:rsidR="00367D46" w:rsidRPr="00EC4F7F" w:rsidRDefault="00367D46" w:rsidP="007F70B5">
    <w:pPr>
      <w:pStyle w:val="Zhlav"/>
      <w:jc w:val="center"/>
    </w:pPr>
    <w:r w:rsidRPr="007F70B5">
      <w:rPr>
        <w:noProof/>
        <w:highlight w:val="red"/>
      </w:rPr>
      <w:t xml:space="preserve"> </w:t>
    </w:r>
  </w:p>
  <w:p w14:paraId="7B610802" w14:textId="77777777" w:rsidR="00367D46" w:rsidRPr="007279FD" w:rsidRDefault="00367D46" w:rsidP="007279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00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424CF6"/>
    <w:multiLevelType w:val="hybridMultilevel"/>
    <w:tmpl w:val="A26E08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593C28"/>
    <w:multiLevelType w:val="hybridMultilevel"/>
    <w:tmpl w:val="3D401B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122D3"/>
    <w:multiLevelType w:val="hybridMultilevel"/>
    <w:tmpl w:val="A9385A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7D5DC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8949E5"/>
    <w:multiLevelType w:val="hybridMultilevel"/>
    <w:tmpl w:val="555AF2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EB07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A01361"/>
    <w:multiLevelType w:val="hybridMultilevel"/>
    <w:tmpl w:val="381E2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6754C9"/>
    <w:multiLevelType w:val="hybridMultilevel"/>
    <w:tmpl w:val="A9385A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33724C"/>
    <w:multiLevelType w:val="multilevel"/>
    <w:tmpl w:val="7F787D82"/>
    <w:lvl w:ilvl="0">
      <w:start w:val="1"/>
      <w:numFmt w:val="bullet"/>
      <w:pStyle w:val="3Nepslunpoadavek"/>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5B20B3D"/>
    <w:multiLevelType w:val="hybridMultilevel"/>
    <w:tmpl w:val="CBEEEA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0333C"/>
    <w:multiLevelType w:val="hybridMultilevel"/>
    <w:tmpl w:val="741AA0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F0123"/>
    <w:multiLevelType w:val="multilevel"/>
    <w:tmpl w:val="715676DA"/>
    <w:styleLink w:val="WW8Num9"/>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13" w15:restartNumberingAfterBreak="0">
    <w:nsid w:val="17CC180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296C3B"/>
    <w:multiLevelType w:val="hybridMultilevel"/>
    <w:tmpl w:val="DC068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90732C"/>
    <w:multiLevelType w:val="hybridMultilevel"/>
    <w:tmpl w:val="0E426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4A2C1D"/>
    <w:multiLevelType w:val="multilevel"/>
    <w:tmpl w:val="9FA61C6A"/>
    <w:lvl w:ilvl="0">
      <w:start w:val="1"/>
      <w:numFmt w:val="decimal"/>
      <w:pStyle w:val="slovan01"/>
      <w:lvlText w:val="%1."/>
      <w:lvlJc w:val="left"/>
      <w:pPr>
        <w:ind w:left="1080" w:hanging="360"/>
      </w:pPr>
      <w:rPr>
        <w:rFonts w:hint="default"/>
        <w:b w:val="0"/>
        <w:bCs w:val="0"/>
      </w:rPr>
    </w:lvl>
    <w:lvl w:ilvl="1">
      <w:start w:val="1"/>
      <w:numFmt w:val="decimal"/>
      <w:lvlText w:val="%1.%2."/>
      <w:lvlJc w:val="left"/>
      <w:pPr>
        <w:ind w:left="1512" w:hanging="432"/>
      </w:pPr>
      <w:rPr>
        <w:rFonts w:hint="default"/>
        <w:b w:val="0"/>
        <w:bCs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23287DB6"/>
    <w:multiLevelType w:val="hybridMultilevel"/>
    <w:tmpl w:val="038A0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47E2623"/>
    <w:multiLevelType w:val="hybridMultilevel"/>
    <w:tmpl w:val="A9385AB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495250B"/>
    <w:multiLevelType w:val="hybridMultilevel"/>
    <w:tmpl w:val="A232EB3E"/>
    <w:lvl w:ilvl="0" w:tplc="42566594">
      <w:start w:val="1"/>
      <w:numFmt w:val="bullet"/>
      <w:pStyle w:val="Odrkaedivkurzva-ern"/>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976446"/>
    <w:multiLevelType w:val="hybridMultilevel"/>
    <w:tmpl w:val="EFB82078"/>
    <w:lvl w:ilvl="0" w:tplc="1E28477A">
      <w:start w:val="1"/>
      <w:numFmt w:val="bullet"/>
      <w:pStyle w:val="Odrka"/>
      <w:lvlText w:val=""/>
      <w:lvlJc w:val="left"/>
      <w:pPr>
        <w:ind w:left="4755" w:hanging="360"/>
      </w:pPr>
      <w:rPr>
        <w:rFonts w:ascii="Wingdings" w:hAnsi="Wingdings" w:hint="default"/>
        <w:color w:val="215868"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tentative="1">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21" w15:restartNumberingAfterBreak="0">
    <w:nsid w:val="26E84943"/>
    <w:multiLevelType w:val="hybridMultilevel"/>
    <w:tmpl w:val="466631C6"/>
    <w:lvl w:ilvl="0" w:tplc="13B41D16">
      <w:start w:val="1"/>
      <w:numFmt w:val="bullet"/>
      <w:lvlText w:val=""/>
      <w:lvlJc w:val="left"/>
      <w:pPr>
        <w:tabs>
          <w:tab w:val="num" w:pos="1080"/>
        </w:tabs>
        <w:ind w:left="1080" w:hanging="360"/>
      </w:pPr>
      <w:rPr>
        <w:rFonts w:ascii="Symbol" w:hAnsi="Symbol" w:hint="default"/>
        <w:color w:val="auto"/>
      </w:rPr>
    </w:lvl>
    <w:lvl w:ilvl="1" w:tplc="3B489896">
      <w:start w:val="1"/>
      <w:numFmt w:val="decimal"/>
      <w:lvlText w:val="%2."/>
      <w:lvlJc w:val="left"/>
      <w:pPr>
        <w:tabs>
          <w:tab w:val="num" w:pos="1440"/>
        </w:tabs>
        <w:ind w:left="1440" w:hanging="360"/>
      </w:pPr>
    </w:lvl>
    <w:lvl w:ilvl="2" w:tplc="3E70B7EA">
      <w:start w:val="1"/>
      <w:numFmt w:val="decimal"/>
      <w:lvlText w:val="%3."/>
      <w:lvlJc w:val="left"/>
      <w:pPr>
        <w:tabs>
          <w:tab w:val="num" w:pos="2160"/>
        </w:tabs>
        <w:ind w:left="2160" w:hanging="360"/>
      </w:pPr>
    </w:lvl>
    <w:lvl w:ilvl="3" w:tplc="29C4A9B0">
      <w:start w:val="1"/>
      <w:numFmt w:val="decimal"/>
      <w:lvlText w:val="%4."/>
      <w:lvlJc w:val="left"/>
      <w:pPr>
        <w:tabs>
          <w:tab w:val="num" w:pos="2880"/>
        </w:tabs>
        <w:ind w:left="2880" w:hanging="360"/>
      </w:pPr>
    </w:lvl>
    <w:lvl w:ilvl="4" w:tplc="415012F0">
      <w:start w:val="1"/>
      <w:numFmt w:val="decimal"/>
      <w:lvlText w:val="%5."/>
      <w:lvlJc w:val="left"/>
      <w:pPr>
        <w:tabs>
          <w:tab w:val="num" w:pos="3600"/>
        </w:tabs>
        <w:ind w:left="3600" w:hanging="360"/>
      </w:pPr>
    </w:lvl>
    <w:lvl w:ilvl="5" w:tplc="D6924E22">
      <w:start w:val="1"/>
      <w:numFmt w:val="decimal"/>
      <w:lvlText w:val="%6."/>
      <w:lvlJc w:val="left"/>
      <w:pPr>
        <w:tabs>
          <w:tab w:val="num" w:pos="4320"/>
        </w:tabs>
        <w:ind w:left="4320" w:hanging="360"/>
      </w:pPr>
    </w:lvl>
    <w:lvl w:ilvl="6" w:tplc="C1AA1702">
      <w:start w:val="1"/>
      <w:numFmt w:val="decimal"/>
      <w:pStyle w:val="Textodstavce"/>
      <w:lvlText w:val="%7."/>
      <w:lvlJc w:val="left"/>
      <w:pPr>
        <w:tabs>
          <w:tab w:val="num" w:pos="5040"/>
        </w:tabs>
        <w:ind w:left="5040" w:hanging="360"/>
      </w:pPr>
    </w:lvl>
    <w:lvl w:ilvl="7" w:tplc="003AEA6C">
      <w:start w:val="1"/>
      <w:numFmt w:val="decimal"/>
      <w:lvlText w:val="%8."/>
      <w:lvlJc w:val="left"/>
      <w:pPr>
        <w:tabs>
          <w:tab w:val="num" w:pos="5760"/>
        </w:tabs>
        <w:ind w:left="5760" w:hanging="360"/>
      </w:pPr>
    </w:lvl>
    <w:lvl w:ilvl="8" w:tplc="EC3AEEAE">
      <w:start w:val="1"/>
      <w:numFmt w:val="decimal"/>
      <w:lvlText w:val="%9."/>
      <w:lvlJc w:val="left"/>
      <w:pPr>
        <w:tabs>
          <w:tab w:val="num" w:pos="6480"/>
        </w:tabs>
        <w:ind w:left="6480" w:hanging="360"/>
      </w:pPr>
    </w:lvl>
  </w:abstractNum>
  <w:abstractNum w:abstractNumId="22" w15:restartNumberingAfterBreak="0">
    <w:nsid w:val="28310A89"/>
    <w:multiLevelType w:val="hybridMultilevel"/>
    <w:tmpl w:val="CD4C8D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2C463662"/>
    <w:multiLevelType w:val="hybridMultilevel"/>
    <w:tmpl w:val="972E5138"/>
    <w:lvl w:ilvl="0" w:tplc="4E2C4A90">
      <w:start w:val="1"/>
      <w:numFmt w:val="bullet"/>
      <w:pStyle w:val="Odsazen2"/>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FC13D38"/>
    <w:multiLevelType w:val="hybridMultilevel"/>
    <w:tmpl w:val="69EE5B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DC5CB0"/>
    <w:multiLevelType w:val="hybridMultilevel"/>
    <w:tmpl w:val="5F6C35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737AAB"/>
    <w:multiLevelType w:val="multilevel"/>
    <w:tmpl w:val="2CA04CFC"/>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C02ED0"/>
    <w:multiLevelType w:val="hybridMultilevel"/>
    <w:tmpl w:val="D26624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7D2FC7"/>
    <w:multiLevelType w:val="hybridMultilevel"/>
    <w:tmpl w:val="C68A5336"/>
    <w:lvl w:ilvl="0" w:tplc="04050003">
      <w:start w:val="1"/>
      <w:numFmt w:val="decimal"/>
      <w:pStyle w:val="Tabulka"/>
      <w:lvlText w:val="Tabulka č.%1:"/>
      <w:lvlJc w:val="left"/>
      <w:pPr>
        <w:ind w:left="1074" w:hanging="360"/>
      </w:pPr>
      <w:rPr>
        <w:rFonts w:hint="default"/>
      </w:rPr>
    </w:lvl>
    <w:lvl w:ilvl="1" w:tplc="04050003" w:tentative="1">
      <w:start w:val="1"/>
      <w:numFmt w:val="lowerLetter"/>
      <w:lvlText w:val="%2."/>
      <w:lvlJc w:val="left"/>
      <w:pPr>
        <w:ind w:left="1797" w:hanging="360"/>
      </w:pPr>
    </w:lvl>
    <w:lvl w:ilvl="2" w:tplc="04050005" w:tentative="1">
      <w:start w:val="1"/>
      <w:numFmt w:val="lowerRoman"/>
      <w:lvlText w:val="%3."/>
      <w:lvlJc w:val="right"/>
      <w:pPr>
        <w:ind w:left="2517" w:hanging="180"/>
      </w:pPr>
    </w:lvl>
    <w:lvl w:ilvl="3" w:tplc="04050001" w:tentative="1">
      <w:start w:val="1"/>
      <w:numFmt w:val="decimal"/>
      <w:lvlText w:val="%4."/>
      <w:lvlJc w:val="left"/>
      <w:pPr>
        <w:ind w:left="3237" w:hanging="360"/>
      </w:pPr>
    </w:lvl>
    <w:lvl w:ilvl="4" w:tplc="04050003" w:tentative="1">
      <w:start w:val="1"/>
      <w:numFmt w:val="lowerLetter"/>
      <w:lvlText w:val="%5."/>
      <w:lvlJc w:val="left"/>
      <w:pPr>
        <w:ind w:left="3957" w:hanging="360"/>
      </w:pPr>
    </w:lvl>
    <w:lvl w:ilvl="5" w:tplc="04050005" w:tentative="1">
      <w:start w:val="1"/>
      <w:numFmt w:val="lowerRoman"/>
      <w:lvlText w:val="%6."/>
      <w:lvlJc w:val="right"/>
      <w:pPr>
        <w:ind w:left="4677" w:hanging="180"/>
      </w:pPr>
    </w:lvl>
    <w:lvl w:ilvl="6" w:tplc="04050001" w:tentative="1">
      <w:start w:val="1"/>
      <w:numFmt w:val="decimal"/>
      <w:lvlText w:val="%7."/>
      <w:lvlJc w:val="left"/>
      <w:pPr>
        <w:ind w:left="5397" w:hanging="360"/>
      </w:pPr>
    </w:lvl>
    <w:lvl w:ilvl="7" w:tplc="04050003" w:tentative="1">
      <w:start w:val="1"/>
      <w:numFmt w:val="lowerLetter"/>
      <w:lvlText w:val="%8."/>
      <w:lvlJc w:val="left"/>
      <w:pPr>
        <w:ind w:left="6117" w:hanging="360"/>
      </w:pPr>
    </w:lvl>
    <w:lvl w:ilvl="8" w:tplc="04050005" w:tentative="1">
      <w:start w:val="1"/>
      <w:numFmt w:val="lowerRoman"/>
      <w:lvlText w:val="%9."/>
      <w:lvlJc w:val="right"/>
      <w:pPr>
        <w:ind w:left="6837" w:hanging="180"/>
      </w:pPr>
    </w:lvl>
  </w:abstractNum>
  <w:abstractNum w:abstractNumId="30" w15:restartNumberingAfterBreak="0">
    <w:nsid w:val="48EF37B8"/>
    <w:multiLevelType w:val="hybridMultilevel"/>
    <w:tmpl w:val="757C9E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9E7DF5"/>
    <w:multiLevelType w:val="hybridMultilevel"/>
    <w:tmpl w:val="A9385A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DE25F4"/>
    <w:multiLevelType w:val="hybridMultilevel"/>
    <w:tmpl w:val="7A545E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5E6E5D4F"/>
    <w:multiLevelType w:val="multilevel"/>
    <w:tmpl w:val="C5C0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437772"/>
    <w:multiLevelType w:val="hybridMultilevel"/>
    <w:tmpl w:val="A9385A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E83B49"/>
    <w:multiLevelType w:val="hybridMultilevel"/>
    <w:tmpl w:val="09EE73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903E3A"/>
    <w:multiLevelType w:val="hybridMultilevel"/>
    <w:tmpl w:val="F89E79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A016E8"/>
    <w:multiLevelType w:val="hybridMultilevel"/>
    <w:tmpl w:val="A9385A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177352"/>
    <w:multiLevelType w:val="hybridMultilevel"/>
    <w:tmpl w:val="C2302192"/>
    <w:lvl w:ilvl="0" w:tplc="00D2F056">
      <w:start w:val="1"/>
      <w:numFmt w:val="bullet"/>
      <w:pStyle w:val="OdrkaII"/>
      <w:lvlText w:val=""/>
      <w:lvlJc w:val="left"/>
      <w:pPr>
        <w:ind w:left="1154" w:hanging="360"/>
      </w:pPr>
      <w:rPr>
        <w:rFonts w:ascii="Wingdings" w:hAnsi="Wingdings" w:hint="default"/>
        <w:color w:val="7F7F7F" w:themeColor="text1" w:themeTint="80"/>
      </w:rPr>
    </w:lvl>
    <w:lvl w:ilvl="1" w:tplc="04050005">
      <w:start w:val="1"/>
      <w:numFmt w:val="bullet"/>
      <w:lvlText w:val=""/>
      <w:lvlJc w:val="left"/>
      <w:pPr>
        <w:ind w:left="2160" w:hanging="360"/>
      </w:pPr>
      <w:rPr>
        <w:rFonts w:ascii="Wingdings" w:hAnsi="Wingdings"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77C04EE3"/>
    <w:multiLevelType w:val="hybridMultilevel"/>
    <w:tmpl w:val="478E891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D33D4F"/>
    <w:multiLevelType w:val="hybridMultilevel"/>
    <w:tmpl w:val="EFC28E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4811081">
    <w:abstractNumId w:val="21"/>
  </w:num>
  <w:num w:numId="2" w16cid:durableId="791828990">
    <w:abstractNumId w:val="27"/>
  </w:num>
  <w:num w:numId="3" w16cid:durableId="1431969609">
    <w:abstractNumId w:val="20"/>
  </w:num>
  <w:num w:numId="4" w16cid:durableId="311108260">
    <w:abstractNumId w:val="38"/>
  </w:num>
  <w:num w:numId="5" w16cid:durableId="193688734">
    <w:abstractNumId w:val="25"/>
  </w:num>
  <w:num w:numId="6" w16cid:durableId="1432360317">
    <w:abstractNumId w:val="23"/>
  </w:num>
  <w:num w:numId="7" w16cid:durableId="1499080497">
    <w:abstractNumId w:val="16"/>
  </w:num>
  <w:num w:numId="8" w16cid:durableId="2090694151">
    <w:abstractNumId w:val="19"/>
  </w:num>
  <w:num w:numId="9" w16cid:durableId="6560896">
    <w:abstractNumId w:val="7"/>
  </w:num>
  <w:num w:numId="10" w16cid:durableId="1263949579">
    <w:abstractNumId w:val="4"/>
  </w:num>
  <w:num w:numId="11" w16cid:durableId="610165572">
    <w:abstractNumId w:val="1"/>
  </w:num>
  <w:num w:numId="12" w16cid:durableId="1065450168">
    <w:abstractNumId w:val="30"/>
  </w:num>
  <w:num w:numId="13" w16cid:durableId="2008823845">
    <w:abstractNumId w:val="11"/>
  </w:num>
  <w:num w:numId="14" w16cid:durableId="1937252054">
    <w:abstractNumId w:val="18"/>
  </w:num>
  <w:num w:numId="15" w16cid:durableId="459419294">
    <w:abstractNumId w:val="10"/>
  </w:num>
  <w:num w:numId="16" w16cid:durableId="1044210510">
    <w:abstractNumId w:val="29"/>
  </w:num>
  <w:num w:numId="17" w16cid:durableId="2075934552">
    <w:abstractNumId w:val="12"/>
  </w:num>
  <w:num w:numId="18" w16cid:durableId="873814488">
    <w:abstractNumId w:val="9"/>
  </w:num>
  <w:num w:numId="19" w16cid:durableId="134107131">
    <w:abstractNumId w:val="6"/>
  </w:num>
  <w:num w:numId="20" w16cid:durableId="1377587250">
    <w:abstractNumId w:val="13"/>
  </w:num>
  <w:num w:numId="21" w16cid:durableId="1340934434">
    <w:abstractNumId w:val="0"/>
  </w:num>
  <w:num w:numId="22" w16cid:durableId="1133713462">
    <w:abstractNumId w:val="39"/>
  </w:num>
  <w:num w:numId="23" w16cid:durableId="1856068457">
    <w:abstractNumId w:val="17"/>
  </w:num>
  <w:num w:numId="24" w16cid:durableId="1235436554">
    <w:abstractNumId w:val="35"/>
  </w:num>
  <w:num w:numId="25" w16cid:durableId="151220669">
    <w:abstractNumId w:val="5"/>
  </w:num>
  <w:num w:numId="26" w16cid:durableId="534007398">
    <w:abstractNumId w:val="40"/>
  </w:num>
  <w:num w:numId="27" w16cid:durableId="1959531671">
    <w:abstractNumId w:val="15"/>
  </w:num>
  <w:num w:numId="28" w16cid:durableId="693458842">
    <w:abstractNumId w:val="36"/>
  </w:num>
  <w:num w:numId="29" w16cid:durableId="433938652">
    <w:abstractNumId w:val="2"/>
  </w:num>
  <w:num w:numId="30" w16cid:durableId="1179853096">
    <w:abstractNumId w:val="26"/>
  </w:num>
  <w:num w:numId="31" w16cid:durableId="218826781">
    <w:abstractNumId w:val="28"/>
  </w:num>
  <w:num w:numId="32" w16cid:durableId="1334183024">
    <w:abstractNumId w:val="14"/>
  </w:num>
  <w:num w:numId="33" w16cid:durableId="146212151">
    <w:abstractNumId w:val="24"/>
  </w:num>
  <w:num w:numId="34" w16cid:durableId="1699890562">
    <w:abstractNumId w:val="33"/>
  </w:num>
  <w:num w:numId="35" w16cid:durableId="739861621">
    <w:abstractNumId w:val="3"/>
  </w:num>
  <w:num w:numId="36" w16cid:durableId="576748159">
    <w:abstractNumId w:val="22"/>
  </w:num>
  <w:num w:numId="37" w16cid:durableId="1776637736">
    <w:abstractNumId w:val="32"/>
  </w:num>
  <w:num w:numId="38" w16cid:durableId="1865173396">
    <w:abstractNumId w:val="31"/>
  </w:num>
  <w:num w:numId="39" w16cid:durableId="1792631580">
    <w:abstractNumId w:val="37"/>
  </w:num>
  <w:num w:numId="40" w16cid:durableId="344524925">
    <w:abstractNumId w:val="34"/>
  </w:num>
  <w:num w:numId="41" w16cid:durableId="186038558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CF"/>
    <w:rsid w:val="00003C6E"/>
    <w:rsid w:val="0000557B"/>
    <w:rsid w:val="0000576B"/>
    <w:rsid w:val="00006B50"/>
    <w:rsid w:val="00006FFB"/>
    <w:rsid w:val="00011E01"/>
    <w:rsid w:val="00013DA4"/>
    <w:rsid w:val="00015080"/>
    <w:rsid w:val="00023432"/>
    <w:rsid w:val="00026F3C"/>
    <w:rsid w:val="00031963"/>
    <w:rsid w:val="00032C8F"/>
    <w:rsid w:val="0003430B"/>
    <w:rsid w:val="0003435A"/>
    <w:rsid w:val="000366D9"/>
    <w:rsid w:val="000515B1"/>
    <w:rsid w:val="00052B71"/>
    <w:rsid w:val="00053C60"/>
    <w:rsid w:val="00053D12"/>
    <w:rsid w:val="00054263"/>
    <w:rsid w:val="00057647"/>
    <w:rsid w:val="000621CD"/>
    <w:rsid w:val="00066095"/>
    <w:rsid w:val="000674E1"/>
    <w:rsid w:val="0007067D"/>
    <w:rsid w:val="00070F99"/>
    <w:rsid w:val="000711AA"/>
    <w:rsid w:val="00080EAE"/>
    <w:rsid w:val="000811F9"/>
    <w:rsid w:val="00082543"/>
    <w:rsid w:val="00085AFE"/>
    <w:rsid w:val="000873E2"/>
    <w:rsid w:val="00092766"/>
    <w:rsid w:val="00096362"/>
    <w:rsid w:val="00096AE7"/>
    <w:rsid w:val="000A38A5"/>
    <w:rsid w:val="000A4176"/>
    <w:rsid w:val="000A61BA"/>
    <w:rsid w:val="000B3770"/>
    <w:rsid w:val="000B5C52"/>
    <w:rsid w:val="000B69B3"/>
    <w:rsid w:val="000B7E29"/>
    <w:rsid w:val="000C1BB7"/>
    <w:rsid w:val="000C2051"/>
    <w:rsid w:val="000D12D4"/>
    <w:rsid w:val="000D2792"/>
    <w:rsid w:val="000D4C61"/>
    <w:rsid w:val="000D74D6"/>
    <w:rsid w:val="000E0CED"/>
    <w:rsid w:val="000E10CC"/>
    <w:rsid w:val="000E1852"/>
    <w:rsid w:val="000E7C16"/>
    <w:rsid w:val="000F4BF0"/>
    <w:rsid w:val="000F717F"/>
    <w:rsid w:val="0010445C"/>
    <w:rsid w:val="001069C7"/>
    <w:rsid w:val="00107A91"/>
    <w:rsid w:val="00112860"/>
    <w:rsid w:val="0011366C"/>
    <w:rsid w:val="00121934"/>
    <w:rsid w:val="00123B5C"/>
    <w:rsid w:val="0012634B"/>
    <w:rsid w:val="00127713"/>
    <w:rsid w:val="00130EB4"/>
    <w:rsid w:val="001332E6"/>
    <w:rsid w:val="0013568C"/>
    <w:rsid w:val="001447CF"/>
    <w:rsid w:val="00145919"/>
    <w:rsid w:val="00146900"/>
    <w:rsid w:val="00167CE5"/>
    <w:rsid w:val="00172671"/>
    <w:rsid w:val="001731AC"/>
    <w:rsid w:val="001759E1"/>
    <w:rsid w:val="00176894"/>
    <w:rsid w:val="001776EA"/>
    <w:rsid w:val="00185DE1"/>
    <w:rsid w:val="00187F4C"/>
    <w:rsid w:val="00191352"/>
    <w:rsid w:val="001952DC"/>
    <w:rsid w:val="00197C1E"/>
    <w:rsid w:val="001C1D70"/>
    <w:rsid w:val="001C4428"/>
    <w:rsid w:val="001C59AF"/>
    <w:rsid w:val="001C5ACE"/>
    <w:rsid w:val="001C6269"/>
    <w:rsid w:val="001C6328"/>
    <w:rsid w:val="001D03E3"/>
    <w:rsid w:val="001D18E9"/>
    <w:rsid w:val="001D36D5"/>
    <w:rsid w:val="001D4228"/>
    <w:rsid w:val="001E1D25"/>
    <w:rsid w:val="001E3056"/>
    <w:rsid w:val="001E4E80"/>
    <w:rsid w:val="001E6401"/>
    <w:rsid w:val="001F36FF"/>
    <w:rsid w:val="00201C34"/>
    <w:rsid w:val="00202741"/>
    <w:rsid w:val="002035A8"/>
    <w:rsid w:val="0021000D"/>
    <w:rsid w:val="00210BC7"/>
    <w:rsid w:val="00214018"/>
    <w:rsid w:val="00221207"/>
    <w:rsid w:val="00222DD5"/>
    <w:rsid w:val="002270AE"/>
    <w:rsid w:val="00234D2E"/>
    <w:rsid w:val="00242BAA"/>
    <w:rsid w:val="00242ECF"/>
    <w:rsid w:val="00243F64"/>
    <w:rsid w:val="002462EA"/>
    <w:rsid w:val="0025052C"/>
    <w:rsid w:val="00250CD2"/>
    <w:rsid w:val="0025641F"/>
    <w:rsid w:val="00263DA5"/>
    <w:rsid w:val="002656D4"/>
    <w:rsid w:val="0026603B"/>
    <w:rsid w:val="002660F2"/>
    <w:rsid w:val="0026631A"/>
    <w:rsid w:val="002667A9"/>
    <w:rsid w:val="0028004E"/>
    <w:rsid w:val="00280F51"/>
    <w:rsid w:val="002819D3"/>
    <w:rsid w:val="00287FA8"/>
    <w:rsid w:val="00287FC2"/>
    <w:rsid w:val="002912FF"/>
    <w:rsid w:val="00296DA7"/>
    <w:rsid w:val="002A38D1"/>
    <w:rsid w:val="002A4731"/>
    <w:rsid w:val="002A5D6B"/>
    <w:rsid w:val="002A7662"/>
    <w:rsid w:val="002B03E4"/>
    <w:rsid w:val="002B4F39"/>
    <w:rsid w:val="002C081E"/>
    <w:rsid w:val="002C14CF"/>
    <w:rsid w:val="002C196D"/>
    <w:rsid w:val="002C24D9"/>
    <w:rsid w:val="002C359C"/>
    <w:rsid w:val="002C538B"/>
    <w:rsid w:val="002C5867"/>
    <w:rsid w:val="002C5AE4"/>
    <w:rsid w:val="002C6360"/>
    <w:rsid w:val="002E34C4"/>
    <w:rsid w:val="002E3D72"/>
    <w:rsid w:val="002F065B"/>
    <w:rsid w:val="002F1206"/>
    <w:rsid w:val="002F187E"/>
    <w:rsid w:val="002F18A9"/>
    <w:rsid w:val="002F2700"/>
    <w:rsid w:val="002F4621"/>
    <w:rsid w:val="002F5A0C"/>
    <w:rsid w:val="00302137"/>
    <w:rsid w:val="00311134"/>
    <w:rsid w:val="0031172A"/>
    <w:rsid w:val="0031545D"/>
    <w:rsid w:val="00315C3B"/>
    <w:rsid w:val="00317688"/>
    <w:rsid w:val="00325104"/>
    <w:rsid w:val="0032639F"/>
    <w:rsid w:val="003268E8"/>
    <w:rsid w:val="00342F4F"/>
    <w:rsid w:val="003440FF"/>
    <w:rsid w:val="00346493"/>
    <w:rsid w:val="00347047"/>
    <w:rsid w:val="00350126"/>
    <w:rsid w:val="00360FC3"/>
    <w:rsid w:val="003629EE"/>
    <w:rsid w:val="00362FC0"/>
    <w:rsid w:val="0036696C"/>
    <w:rsid w:val="00367D46"/>
    <w:rsid w:val="00373604"/>
    <w:rsid w:val="0037403F"/>
    <w:rsid w:val="00381157"/>
    <w:rsid w:val="00384A49"/>
    <w:rsid w:val="00384FE5"/>
    <w:rsid w:val="00386C5C"/>
    <w:rsid w:val="00387550"/>
    <w:rsid w:val="0039236F"/>
    <w:rsid w:val="003926F0"/>
    <w:rsid w:val="00397AE0"/>
    <w:rsid w:val="00397D24"/>
    <w:rsid w:val="003A220D"/>
    <w:rsid w:val="003B3544"/>
    <w:rsid w:val="003B549F"/>
    <w:rsid w:val="003B7F68"/>
    <w:rsid w:val="003C0D6A"/>
    <w:rsid w:val="003C4B84"/>
    <w:rsid w:val="003C561A"/>
    <w:rsid w:val="003C6004"/>
    <w:rsid w:val="003D7ADC"/>
    <w:rsid w:val="003E1590"/>
    <w:rsid w:val="003E2F86"/>
    <w:rsid w:val="003E606A"/>
    <w:rsid w:val="003E791F"/>
    <w:rsid w:val="003F3978"/>
    <w:rsid w:val="003F5A98"/>
    <w:rsid w:val="003F7783"/>
    <w:rsid w:val="0040068F"/>
    <w:rsid w:val="0040267D"/>
    <w:rsid w:val="00403295"/>
    <w:rsid w:val="004054BE"/>
    <w:rsid w:val="004054CC"/>
    <w:rsid w:val="00406EB7"/>
    <w:rsid w:val="0040799F"/>
    <w:rsid w:val="004123C3"/>
    <w:rsid w:val="004162E9"/>
    <w:rsid w:val="00417F58"/>
    <w:rsid w:val="00421D2C"/>
    <w:rsid w:val="00423D48"/>
    <w:rsid w:val="00427003"/>
    <w:rsid w:val="00431A73"/>
    <w:rsid w:val="004357FA"/>
    <w:rsid w:val="00437E02"/>
    <w:rsid w:val="0044329C"/>
    <w:rsid w:val="0044703D"/>
    <w:rsid w:val="00453DCB"/>
    <w:rsid w:val="004615F7"/>
    <w:rsid w:val="004648F6"/>
    <w:rsid w:val="004650B6"/>
    <w:rsid w:val="00467273"/>
    <w:rsid w:val="00467CC9"/>
    <w:rsid w:val="00471A46"/>
    <w:rsid w:val="0047206D"/>
    <w:rsid w:val="00472452"/>
    <w:rsid w:val="00473A12"/>
    <w:rsid w:val="00485CA3"/>
    <w:rsid w:val="00490B0B"/>
    <w:rsid w:val="00490FC7"/>
    <w:rsid w:val="00496DD7"/>
    <w:rsid w:val="004A2066"/>
    <w:rsid w:val="004A4A0F"/>
    <w:rsid w:val="004A5ADF"/>
    <w:rsid w:val="004A65FA"/>
    <w:rsid w:val="004B718D"/>
    <w:rsid w:val="004C0FE3"/>
    <w:rsid w:val="004C2F85"/>
    <w:rsid w:val="004C5461"/>
    <w:rsid w:val="004D3C52"/>
    <w:rsid w:val="004E1ADF"/>
    <w:rsid w:val="004E3F2D"/>
    <w:rsid w:val="004E4383"/>
    <w:rsid w:val="004E4E38"/>
    <w:rsid w:val="004F0364"/>
    <w:rsid w:val="004F1307"/>
    <w:rsid w:val="004F63CB"/>
    <w:rsid w:val="004F7105"/>
    <w:rsid w:val="005010D2"/>
    <w:rsid w:val="00501924"/>
    <w:rsid w:val="00502D5D"/>
    <w:rsid w:val="00504EF3"/>
    <w:rsid w:val="00506F3C"/>
    <w:rsid w:val="00511006"/>
    <w:rsid w:val="00513A5B"/>
    <w:rsid w:val="0051412E"/>
    <w:rsid w:val="00514BB3"/>
    <w:rsid w:val="0051647D"/>
    <w:rsid w:val="00521B45"/>
    <w:rsid w:val="00521E93"/>
    <w:rsid w:val="00521F4F"/>
    <w:rsid w:val="00522C34"/>
    <w:rsid w:val="005235F5"/>
    <w:rsid w:val="00527529"/>
    <w:rsid w:val="00534837"/>
    <w:rsid w:val="005416BF"/>
    <w:rsid w:val="00543529"/>
    <w:rsid w:val="00545E90"/>
    <w:rsid w:val="00546293"/>
    <w:rsid w:val="0055459C"/>
    <w:rsid w:val="0055760C"/>
    <w:rsid w:val="0056151F"/>
    <w:rsid w:val="00565CCC"/>
    <w:rsid w:val="00571BB4"/>
    <w:rsid w:val="00573682"/>
    <w:rsid w:val="00577BD9"/>
    <w:rsid w:val="0058023E"/>
    <w:rsid w:val="005850CE"/>
    <w:rsid w:val="005963E7"/>
    <w:rsid w:val="005A0BBD"/>
    <w:rsid w:val="005A2D52"/>
    <w:rsid w:val="005A548D"/>
    <w:rsid w:val="005A6F7E"/>
    <w:rsid w:val="005B0B73"/>
    <w:rsid w:val="005B2E6D"/>
    <w:rsid w:val="005C77D5"/>
    <w:rsid w:val="005D3536"/>
    <w:rsid w:val="005D4A9D"/>
    <w:rsid w:val="005D5B80"/>
    <w:rsid w:val="005D7159"/>
    <w:rsid w:val="005E514D"/>
    <w:rsid w:val="005E6D96"/>
    <w:rsid w:val="00600A76"/>
    <w:rsid w:val="0060150E"/>
    <w:rsid w:val="00601B7E"/>
    <w:rsid w:val="006027D2"/>
    <w:rsid w:val="00603876"/>
    <w:rsid w:val="006055E2"/>
    <w:rsid w:val="00605AFB"/>
    <w:rsid w:val="00613214"/>
    <w:rsid w:val="006143FF"/>
    <w:rsid w:val="006150B7"/>
    <w:rsid w:val="00615D5F"/>
    <w:rsid w:val="00620644"/>
    <w:rsid w:val="00620BF0"/>
    <w:rsid w:val="00622D63"/>
    <w:rsid w:val="00625F68"/>
    <w:rsid w:val="006301E4"/>
    <w:rsid w:val="0063112A"/>
    <w:rsid w:val="00640838"/>
    <w:rsid w:val="0064353F"/>
    <w:rsid w:val="0064363F"/>
    <w:rsid w:val="00643AD8"/>
    <w:rsid w:val="00647364"/>
    <w:rsid w:val="00647C0F"/>
    <w:rsid w:val="00660476"/>
    <w:rsid w:val="00660832"/>
    <w:rsid w:val="00665D56"/>
    <w:rsid w:val="00667FFE"/>
    <w:rsid w:val="00673B7D"/>
    <w:rsid w:val="006756A8"/>
    <w:rsid w:val="006818CE"/>
    <w:rsid w:val="00681DB9"/>
    <w:rsid w:val="00683C4A"/>
    <w:rsid w:val="00684B4E"/>
    <w:rsid w:val="0069632A"/>
    <w:rsid w:val="006A18FC"/>
    <w:rsid w:val="006A5384"/>
    <w:rsid w:val="006C1C31"/>
    <w:rsid w:val="006C6127"/>
    <w:rsid w:val="006D28C2"/>
    <w:rsid w:val="006D3276"/>
    <w:rsid w:val="006E28A6"/>
    <w:rsid w:val="006E2C90"/>
    <w:rsid w:val="006E53D0"/>
    <w:rsid w:val="006F112B"/>
    <w:rsid w:val="00700BD9"/>
    <w:rsid w:val="00701732"/>
    <w:rsid w:val="00702D92"/>
    <w:rsid w:val="00706AD2"/>
    <w:rsid w:val="00710502"/>
    <w:rsid w:val="007172C1"/>
    <w:rsid w:val="007276CC"/>
    <w:rsid w:val="007279FD"/>
    <w:rsid w:val="007316F8"/>
    <w:rsid w:val="0073202A"/>
    <w:rsid w:val="00732B50"/>
    <w:rsid w:val="007349E4"/>
    <w:rsid w:val="00741F71"/>
    <w:rsid w:val="00744EA5"/>
    <w:rsid w:val="00745F18"/>
    <w:rsid w:val="0074796A"/>
    <w:rsid w:val="00752F31"/>
    <w:rsid w:val="0076196D"/>
    <w:rsid w:val="00761A9A"/>
    <w:rsid w:val="00763201"/>
    <w:rsid w:val="007643AF"/>
    <w:rsid w:val="00771173"/>
    <w:rsid w:val="0077464A"/>
    <w:rsid w:val="00777AF1"/>
    <w:rsid w:val="00777DBE"/>
    <w:rsid w:val="00781B87"/>
    <w:rsid w:val="00783883"/>
    <w:rsid w:val="00784D4B"/>
    <w:rsid w:val="0078679A"/>
    <w:rsid w:val="0078721F"/>
    <w:rsid w:val="00790EF5"/>
    <w:rsid w:val="00793F9C"/>
    <w:rsid w:val="007948B2"/>
    <w:rsid w:val="00794CB0"/>
    <w:rsid w:val="007A3A27"/>
    <w:rsid w:val="007A6202"/>
    <w:rsid w:val="007B0165"/>
    <w:rsid w:val="007B1D2F"/>
    <w:rsid w:val="007B2A44"/>
    <w:rsid w:val="007B3834"/>
    <w:rsid w:val="007B5E4F"/>
    <w:rsid w:val="007B5E83"/>
    <w:rsid w:val="007B67CD"/>
    <w:rsid w:val="007C2746"/>
    <w:rsid w:val="007D24D2"/>
    <w:rsid w:val="007D2591"/>
    <w:rsid w:val="007D378A"/>
    <w:rsid w:val="007D5094"/>
    <w:rsid w:val="007D6291"/>
    <w:rsid w:val="007E57DC"/>
    <w:rsid w:val="007E6542"/>
    <w:rsid w:val="007F020A"/>
    <w:rsid w:val="007F022B"/>
    <w:rsid w:val="007F1220"/>
    <w:rsid w:val="007F6CA4"/>
    <w:rsid w:val="007F70B5"/>
    <w:rsid w:val="007F7C41"/>
    <w:rsid w:val="00802160"/>
    <w:rsid w:val="008048FB"/>
    <w:rsid w:val="008063CC"/>
    <w:rsid w:val="008108C0"/>
    <w:rsid w:val="00810BC3"/>
    <w:rsid w:val="00811EF9"/>
    <w:rsid w:val="008127D2"/>
    <w:rsid w:val="00814834"/>
    <w:rsid w:val="00820E3D"/>
    <w:rsid w:val="008306EB"/>
    <w:rsid w:val="00833826"/>
    <w:rsid w:val="00833DAC"/>
    <w:rsid w:val="00834149"/>
    <w:rsid w:val="00836EBF"/>
    <w:rsid w:val="00850C6A"/>
    <w:rsid w:val="00855BDB"/>
    <w:rsid w:val="00857374"/>
    <w:rsid w:val="00863E07"/>
    <w:rsid w:val="008709A6"/>
    <w:rsid w:val="008732FA"/>
    <w:rsid w:val="0087466B"/>
    <w:rsid w:val="00875250"/>
    <w:rsid w:val="00877418"/>
    <w:rsid w:val="00877D5D"/>
    <w:rsid w:val="008802B0"/>
    <w:rsid w:val="00883E9D"/>
    <w:rsid w:val="008926C2"/>
    <w:rsid w:val="008972C6"/>
    <w:rsid w:val="008A478F"/>
    <w:rsid w:val="008A5C49"/>
    <w:rsid w:val="008B538B"/>
    <w:rsid w:val="008B5AF4"/>
    <w:rsid w:val="008C0ADA"/>
    <w:rsid w:val="008D29FC"/>
    <w:rsid w:val="008D2B71"/>
    <w:rsid w:val="008D331F"/>
    <w:rsid w:val="008D67BC"/>
    <w:rsid w:val="008E06AE"/>
    <w:rsid w:val="008E1F28"/>
    <w:rsid w:val="008E380C"/>
    <w:rsid w:val="008E426A"/>
    <w:rsid w:val="008E5742"/>
    <w:rsid w:val="008F3D87"/>
    <w:rsid w:val="009023E1"/>
    <w:rsid w:val="009054A5"/>
    <w:rsid w:val="00905DA2"/>
    <w:rsid w:val="0091005D"/>
    <w:rsid w:val="009103AC"/>
    <w:rsid w:val="0091273E"/>
    <w:rsid w:val="00917DE4"/>
    <w:rsid w:val="009220B7"/>
    <w:rsid w:val="00924268"/>
    <w:rsid w:val="0092500E"/>
    <w:rsid w:val="00925E8A"/>
    <w:rsid w:val="00925F90"/>
    <w:rsid w:val="00927ECA"/>
    <w:rsid w:val="009354F3"/>
    <w:rsid w:val="00937BA8"/>
    <w:rsid w:val="00942D68"/>
    <w:rsid w:val="009446DF"/>
    <w:rsid w:val="009456CA"/>
    <w:rsid w:val="0094570F"/>
    <w:rsid w:val="0094761B"/>
    <w:rsid w:val="009502D3"/>
    <w:rsid w:val="00954F63"/>
    <w:rsid w:val="009654AF"/>
    <w:rsid w:val="00975C6D"/>
    <w:rsid w:val="00977947"/>
    <w:rsid w:val="009845F0"/>
    <w:rsid w:val="00984FC0"/>
    <w:rsid w:val="00991385"/>
    <w:rsid w:val="009927C4"/>
    <w:rsid w:val="00996E0E"/>
    <w:rsid w:val="0099784E"/>
    <w:rsid w:val="009A03D7"/>
    <w:rsid w:val="009A1905"/>
    <w:rsid w:val="009A5164"/>
    <w:rsid w:val="009A5600"/>
    <w:rsid w:val="009B56A6"/>
    <w:rsid w:val="009B5E86"/>
    <w:rsid w:val="009C0217"/>
    <w:rsid w:val="009C14FF"/>
    <w:rsid w:val="009C2635"/>
    <w:rsid w:val="009C2CAF"/>
    <w:rsid w:val="009C4EF0"/>
    <w:rsid w:val="009C5443"/>
    <w:rsid w:val="009C6DD6"/>
    <w:rsid w:val="009D09BB"/>
    <w:rsid w:val="009E508B"/>
    <w:rsid w:val="009E587E"/>
    <w:rsid w:val="009F0177"/>
    <w:rsid w:val="00A035FA"/>
    <w:rsid w:val="00A03ACF"/>
    <w:rsid w:val="00A062D7"/>
    <w:rsid w:val="00A06F7A"/>
    <w:rsid w:val="00A104BF"/>
    <w:rsid w:val="00A105CD"/>
    <w:rsid w:val="00A116C4"/>
    <w:rsid w:val="00A11F6B"/>
    <w:rsid w:val="00A2151F"/>
    <w:rsid w:val="00A231D6"/>
    <w:rsid w:val="00A258FD"/>
    <w:rsid w:val="00A26ABF"/>
    <w:rsid w:val="00A27162"/>
    <w:rsid w:val="00A303D6"/>
    <w:rsid w:val="00A31A02"/>
    <w:rsid w:val="00A40F51"/>
    <w:rsid w:val="00A438FA"/>
    <w:rsid w:val="00A6036F"/>
    <w:rsid w:val="00A60778"/>
    <w:rsid w:val="00A6231B"/>
    <w:rsid w:val="00A629CD"/>
    <w:rsid w:val="00A6640F"/>
    <w:rsid w:val="00A7243A"/>
    <w:rsid w:val="00A74370"/>
    <w:rsid w:val="00A7699B"/>
    <w:rsid w:val="00A77905"/>
    <w:rsid w:val="00A819FD"/>
    <w:rsid w:val="00A84696"/>
    <w:rsid w:val="00A85D73"/>
    <w:rsid w:val="00A95133"/>
    <w:rsid w:val="00A95682"/>
    <w:rsid w:val="00A97094"/>
    <w:rsid w:val="00AA1E8D"/>
    <w:rsid w:val="00AA54A0"/>
    <w:rsid w:val="00AA7362"/>
    <w:rsid w:val="00AB0513"/>
    <w:rsid w:val="00AB1AC0"/>
    <w:rsid w:val="00AC0A05"/>
    <w:rsid w:val="00AC1C63"/>
    <w:rsid w:val="00AC57A3"/>
    <w:rsid w:val="00AD13DF"/>
    <w:rsid w:val="00AE538A"/>
    <w:rsid w:val="00AE68FA"/>
    <w:rsid w:val="00AF0758"/>
    <w:rsid w:val="00AF43F4"/>
    <w:rsid w:val="00B06AD6"/>
    <w:rsid w:val="00B10DF3"/>
    <w:rsid w:val="00B116FD"/>
    <w:rsid w:val="00B17DDD"/>
    <w:rsid w:val="00B17FB6"/>
    <w:rsid w:val="00B20979"/>
    <w:rsid w:val="00B20FEF"/>
    <w:rsid w:val="00B24CE6"/>
    <w:rsid w:val="00B25A8F"/>
    <w:rsid w:val="00B30888"/>
    <w:rsid w:val="00B35A37"/>
    <w:rsid w:val="00B36381"/>
    <w:rsid w:val="00B3769F"/>
    <w:rsid w:val="00B41F07"/>
    <w:rsid w:val="00B434EC"/>
    <w:rsid w:val="00B46209"/>
    <w:rsid w:val="00B50678"/>
    <w:rsid w:val="00B51954"/>
    <w:rsid w:val="00B51A55"/>
    <w:rsid w:val="00B545F9"/>
    <w:rsid w:val="00B612BE"/>
    <w:rsid w:val="00B62B20"/>
    <w:rsid w:val="00B63497"/>
    <w:rsid w:val="00B64018"/>
    <w:rsid w:val="00B71E6F"/>
    <w:rsid w:val="00B828E0"/>
    <w:rsid w:val="00B850E2"/>
    <w:rsid w:val="00B915DB"/>
    <w:rsid w:val="00B92E1B"/>
    <w:rsid w:val="00B93796"/>
    <w:rsid w:val="00B9486C"/>
    <w:rsid w:val="00B94F69"/>
    <w:rsid w:val="00B96F8C"/>
    <w:rsid w:val="00BA04C5"/>
    <w:rsid w:val="00BA357D"/>
    <w:rsid w:val="00BA37BD"/>
    <w:rsid w:val="00BA557B"/>
    <w:rsid w:val="00BA5DCC"/>
    <w:rsid w:val="00BA6714"/>
    <w:rsid w:val="00BB4EE5"/>
    <w:rsid w:val="00BB56C9"/>
    <w:rsid w:val="00BB66EA"/>
    <w:rsid w:val="00BB78F1"/>
    <w:rsid w:val="00BC0E8E"/>
    <w:rsid w:val="00BC5592"/>
    <w:rsid w:val="00BD2D4D"/>
    <w:rsid w:val="00BD4851"/>
    <w:rsid w:val="00BD54C9"/>
    <w:rsid w:val="00BD619B"/>
    <w:rsid w:val="00BE6118"/>
    <w:rsid w:val="00BF3D46"/>
    <w:rsid w:val="00BF6A45"/>
    <w:rsid w:val="00C11AF5"/>
    <w:rsid w:val="00C13512"/>
    <w:rsid w:val="00C2090B"/>
    <w:rsid w:val="00C20BCE"/>
    <w:rsid w:val="00C25366"/>
    <w:rsid w:val="00C25D7C"/>
    <w:rsid w:val="00C309AC"/>
    <w:rsid w:val="00C31285"/>
    <w:rsid w:val="00C31CC4"/>
    <w:rsid w:val="00C41379"/>
    <w:rsid w:val="00C433B3"/>
    <w:rsid w:val="00C44377"/>
    <w:rsid w:val="00C4548E"/>
    <w:rsid w:val="00C50441"/>
    <w:rsid w:val="00C5320D"/>
    <w:rsid w:val="00C5534C"/>
    <w:rsid w:val="00C55BDC"/>
    <w:rsid w:val="00C61133"/>
    <w:rsid w:val="00C6300F"/>
    <w:rsid w:val="00C678AC"/>
    <w:rsid w:val="00C70B92"/>
    <w:rsid w:val="00C7287C"/>
    <w:rsid w:val="00C74AA4"/>
    <w:rsid w:val="00C81462"/>
    <w:rsid w:val="00C824D7"/>
    <w:rsid w:val="00C82B64"/>
    <w:rsid w:val="00C83DC0"/>
    <w:rsid w:val="00C845B0"/>
    <w:rsid w:val="00C85041"/>
    <w:rsid w:val="00C90F1B"/>
    <w:rsid w:val="00C91A2B"/>
    <w:rsid w:val="00C93123"/>
    <w:rsid w:val="00C952AB"/>
    <w:rsid w:val="00C95EAB"/>
    <w:rsid w:val="00CA5473"/>
    <w:rsid w:val="00CB15EB"/>
    <w:rsid w:val="00CB731E"/>
    <w:rsid w:val="00CC43BB"/>
    <w:rsid w:val="00CD4583"/>
    <w:rsid w:val="00CD58FA"/>
    <w:rsid w:val="00CD7C94"/>
    <w:rsid w:val="00CE1B69"/>
    <w:rsid w:val="00CE39A7"/>
    <w:rsid w:val="00CF625B"/>
    <w:rsid w:val="00D02C53"/>
    <w:rsid w:val="00D03D1D"/>
    <w:rsid w:val="00D05C7F"/>
    <w:rsid w:val="00D06284"/>
    <w:rsid w:val="00D20BE5"/>
    <w:rsid w:val="00D22B54"/>
    <w:rsid w:val="00D360BC"/>
    <w:rsid w:val="00D414FD"/>
    <w:rsid w:val="00D42A42"/>
    <w:rsid w:val="00D4536C"/>
    <w:rsid w:val="00D61037"/>
    <w:rsid w:val="00D72D64"/>
    <w:rsid w:val="00D743BD"/>
    <w:rsid w:val="00D76693"/>
    <w:rsid w:val="00D8081C"/>
    <w:rsid w:val="00D80F3F"/>
    <w:rsid w:val="00D83922"/>
    <w:rsid w:val="00D83CAD"/>
    <w:rsid w:val="00D90FF8"/>
    <w:rsid w:val="00D937F1"/>
    <w:rsid w:val="00D94150"/>
    <w:rsid w:val="00DA2992"/>
    <w:rsid w:val="00DA4801"/>
    <w:rsid w:val="00DA56C9"/>
    <w:rsid w:val="00DA7CF8"/>
    <w:rsid w:val="00DB021D"/>
    <w:rsid w:val="00DB14B1"/>
    <w:rsid w:val="00DB312C"/>
    <w:rsid w:val="00DB3A7F"/>
    <w:rsid w:val="00DB74DB"/>
    <w:rsid w:val="00DC37D1"/>
    <w:rsid w:val="00DC5F6B"/>
    <w:rsid w:val="00DD28F5"/>
    <w:rsid w:val="00DD5BE7"/>
    <w:rsid w:val="00DE5208"/>
    <w:rsid w:val="00DE7A1F"/>
    <w:rsid w:val="00DF4A01"/>
    <w:rsid w:val="00DF5013"/>
    <w:rsid w:val="00DF7244"/>
    <w:rsid w:val="00E12150"/>
    <w:rsid w:val="00E12E3F"/>
    <w:rsid w:val="00E13DFF"/>
    <w:rsid w:val="00E21A78"/>
    <w:rsid w:val="00E26B0C"/>
    <w:rsid w:val="00E27080"/>
    <w:rsid w:val="00E40E37"/>
    <w:rsid w:val="00E444C2"/>
    <w:rsid w:val="00E574B6"/>
    <w:rsid w:val="00E62BDE"/>
    <w:rsid w:val="00E7018C"/>
    <w:rsid w:val="00E7547B"/>
    <w:rsid w:val="00E85051"/>
    <w:rsid w:val="00E85503"/>
    <w:rsid w:val="00E86882"/>
    <w:rsid w:val="00E928B8"/>
    <w:rsid w:val="00E93A6F"/>
    <w:rsid w:val="00E94785"/>
    <w:rsid w:val="00E961E1"/>
    <w:rsid w:val="00EA4764"/>
    <w:rsid w:val="00EB1012"/>
    <w:rsid w:val="00EB1105"/>
    <w:rsid w:val="00EB59CF"/>
    <w:rsid w:val="00EC1066"/>
    <w:rsid w:val="00EC33DC"/>
    <w:rsid w:val="00ED166E"/>
    <w:rsid w:val="00EE0937"/>
    <w:rsid w:val="00EE204D"/>
    <w:rsid w:val="00EE7012"/>
    <w:rsid w:val="00EE7A0E"/>
    <w:rsid w:val="00EF0191"/>
    <w:rsid w:val="00EF103A"/>
    <w:rsid w:val="00EF1048"/>
    <w:rsid w:val="00EF42CA"/>
    <w:rsid w:val="00EF716E"/>
    <w:rsid w:val="00F02783"/>
    <w:rsid w:val="00F02C4A"/>
    <w:rsid w:val="00F075DA"/>
    <w:rsid w:val="00F103B9"/>
    <w:rsid w:val="00F11084"/>
    <w:rsid w:val="00F120A1"/>
    <w:rsid w:val="00F16D1E"/>
    <w:rsid w:val="00F172F5"/>
    <w:rsid w:val="00F20116"/>
    <w:rsid w:val="00F21409"/>
    <w:rsid w:val="00F21A3E"/>
    <w:rsid w:val="00F2556F"/>
    <w:rsid w:val="00F32EB8"/>
    <w:rsid w:val="00F42D12"/>
    <w:rsid w:val="00F445C4"/>
    <w:rsid w:val="00F456C2"/>
    <w:rsid w:val="00F46FF7"/>
    <w:rsid w:val="00F51FAA"/>
    <w:rsid w:val="00F540FD"/>
    <w:rsid w:val="00F636AD"/>
    <w:rsid w:val="00F656C1"/>
    <w:rsid w:val="00F6768B"/>
    <w:rsid w:val="00F73DA2"/>
    <w:rsid w:val="00F74A98"/>
    <w:rsid w:val="00F82421"/>
    <w:rsid w:val="00F8366D"/>
    <w:rsid w:val="00F924CF"/>
    <w:rsid w:val="00F93282"/>
    <w:rsid w:val="00F933B6"/>
    <w:rsid w:val="00F93A64"/>
    <w:rsid w:val="00FA18BF"/>
    <w:rsid w:val="00FA2D07"/>
    <w:rsid w:val="00FA4EB4"/>
    <w:rsid w:val="00FA54FF"/>
    <w:rsid w:val="00FA5DAE"/>
    <w:rsid w:val="00FA614B"/>
    <w:rsid w:val="00FA72CE"/>
    <w:rsid w:val="00FB35D4"/>
    <w:rsid w:val="00FB42F8"/>
    <w:rsid w:val="00FB769F"/>
    <w:rsid w:val="00FC1B0C"/>
    <w:rsid w:val="00FD0F8B"/>
    <w:rsid w:val="00FE176D"/>
    <w:rsid w:val="00FE5907"/>
    <w:rsid w:val="00FF2202"/>
    <w:rsid w:val="00FF7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56082"/>
  <w15:docId w15:val="{3E466823-DD71-474D-99B6-087C2201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236F"/>
    <w:pPr>
      <w:spacing w:before="120" w:after="120"/>
      <w:jc w:val="both"/>
    </w:pPr>
    <w:rPr>
      <w:rFonts w:ascii="Arial" w:hAnsi="Arial"/>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ormln"/>
    <w:link w:val="Nadpis1Char"/>
    <w:uiPriority w:val="9"/>
    <w:qFormat/>
    <w:rsid w:val="00625F68"/>
    <w:pPr>
      <w:keepNext/>
      <w:numPr>
        <w:numId w:val="2"/>
      </w:numPr>
      <w:spacing w:before="240"/>
      <w:ind w:left="357" w:hanging="357"/>
      <w:jc w:val="left"/>
      <w:outlineLvl w:val="0"/>
    </w:pPr>
    <w:rPr>
      <w:b/>
      <w:bCs/>
      <w:kern w:val="32"/>
      <w:sz w:val="28"/>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adpis1"/>
    <w:next w:val="Normln"/>
    <w:link w:val="Nadpis2Char"/>
    <w:qFormat/>
    <w:rsid w:val="00242BAA"/>
    <w:pPr>
      <w:numPr>
        <w:ilvl w:val="1"/>
      </w:numPr>
      <w:ind w:left="709" w:hanging="709"/>
      <w:jc w:val="both"/>
      <w:outlineLvl w:val="1"/>
    </w:pPr>
    <w:rPr>
      <w:sz w:val="22"/>
      <w:szCs w:val="28"/>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adpis2"/>
    <w:next w:val="Normln"/>
    <w:link w:val="Nadpis3Char"/>
    <w:unhideWhenUsed/>
    <w:qFormat/>
    <w:rsid w:val="00B25A8F"/>
    <w:pPr>
      <w:numPr>
        <w:ilvl w:val="2"/>
      </w:numPr>
      <w:ind w:left="851" w:hanging="851"/>
      <w:outlineLvl w:val="2"/>
    </w:p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
    <w:basedOn w:val="Normln"/>
    <w:next w:val="Normln"/>
    <w:link w:val="Nadpis4Char"/>
    <w:uiPriority w:val="9"/>
    <w:qFormat/>
    <w:rsid w:val="00B24CE6"/>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381157"/>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aliases w:val="- po straně,ASAPHeading 6,h6,hsm,H6,- po straně1,- po straně2,- po straně3,- po straně4,- po straně11,- po straně21,- po straně31,- po straně5,- po straně6,- po straně7,- po straně8,- po straně9,- po straně10,- po straně12,- po straně13,MUS"/>
    <w:basedOn w:val="Normln"/>
    <w:next w:val="Normln"/>
    <w:link w:val="Nadpis6Char"/>
    <w:uiPriority w:val="9"/>
    <w:unhideWhenUsed/>
    <w:qFormat/>
    <w:rsid w:val="00A27162"/>
    <w:pPr>
      <w:keepNext/>
      <w:keepLines/>
      <w:spacing w:before="40" w:after="6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uiPriority w:val="9"/>
    <w:unhideWhenUsed/>
    <w:qFormat/>
    <w:rsid w:val="00A27162"/>
    <w:pPr>
      <w:keepNext/>
      <w:keepLines/>
      <w:spacing w:before="40" w:after="6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
    <w:unhideWhenUsed/>
    <w:qFormat/>
    <w:rsid w:val="00A27162"/>
    <w:pPr>
      <w:keepNext/>
      <w:keepLines/>
      <w:spacing w:before="40" w:after="6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Nadpis9">
    <w:name w:val="heading 9"/>
    <w:aliases w:val="Nadpis 91,ASAPHeading 9,h9,heading9,MUS9,H9,(Bibliografia),progress,progress1,progress2,progress11,progress3,progress4,progress5,progress6,progress7,progress12,progress21,progress111,progress31,progress8,progress13,progress22,progress112"/>
    <w:basedOn w:val="Normln"/>
    <w:next w:val="Normln"/>
    <w:link w:val="Nadpis9Char"/>
    <w:unhideWhenUsed/>
    <w:qFormat/>
    <w:rsid w:val="00A27162"/>
    <w:pPr>
      <w:keepNext/>
      <w:keepLines/>
      <w:spacing w:before="40" w:after="6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uiPriority w:val="9"/>
    <w:rsid w:val="00625F68"/>
    <w:rPr>
      <w:rFonts w:ascii="Arial" w:hAnsi="Arial"/>
      <w:b/>
      <w:bCs/>
      <w:kern w:val="32"/>
      <w:sz w:val="28"/>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link w:val="Nadpis2"/>
    <w:rsid w:val="00242BAA"/>
    <w:rPr>
      <w:rFonts w:ascii="Arial" w:hAnsi="Arial"/>
      <w:b/>
      <w:bCs/>
      <w:kern w:val="32"/>
      <w:sz w:val="22"/>
      <w:szCs w:val="28"/>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
    <w:basedOn w:val="Standardnpsmoodstavce"/>
    <w:link w:val="Nadpis4"/>
    <w:rsid w:val="00B24CE6"/>
    <w:rPr>
      <w:rFonts w:ascii="Arial" w:hAnsi="Arial"/>
      <w:b/>
      <w:bCs/>
      <w:sz w:val="28"/>
      <w:szCs w:val="28"/>
    </w:rPr>
  </w:style>
  <w:style w:type="paragraph" w:styleId="Obsah1">
    <w:name w:val="toc 1"/>
    <w:basedOn w:val="Normln"/>
    <w:next w:val="Normln"/>
    <w:autoRedefine/>
    <w:uiPriority w:val="39"/>
    <w:unhideWhenUsed/>
    <w:qFormat/>
    <w:rsid w:val="0007067D"/>
    <w:pPr>
      <w:tabs>
        <w:tab w:val="right" w:leader="dot" w:pos="9062"/>
      </w:tabs>
      <w:ind w:left="657" w:hanging="697"/>
    </w:pPr>
    <w:rPr>
      <w:b/>
      <w:bCs/>
      <w:caps/>
      <w:noProof/>
      <w:lang w:eastAsia="en-US" w:bidi="en-US"/>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uiPriority w:val="99"/>
    <w:qFormat/>
    <w:rsid w:val="00B24CE6"/>
    <w:rPr>
      <w:rFonts w:eastAsia="Calibri" w:cs="Arial"/>
      <w:sz w:val="24"/>
      <w:szCs w:val="22"/>
      <w:lang w:val="en-GB"/>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link w:val="Textpoznpodarou"/>
    <w:uiPriority w:val="99"/>
    <w:rsid w:val="00B24CE6"/>
    <w:rPr>
      <w:rFonts w:ascii="Arial" w:eastAsia="Calibri" w:hAnsi="Arial" w:cs="Arial"/>
      <w:sz w:val="24"/>
      <w:szCs w:val="22"/>
      <w:lang w:val="en-GB"/>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B24CE6"/>
    <w:pPr>
      <w:ind w:left="720"/>
      <w:contextualSpacing/>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B24CE6"/>
    <w:rPr>
      <w:rFonts w:ascii="Arial" w:hAnsi="Arial"/>
      <w:szCs w:val="24"/>
    </w:rPr>
  </w:style>
  <w:style w:type="table" w:styleId="Mkatabulky">
    <w:name w:val="Table Grid"/>
    <w:aliases w:val="Deloitte table 3"/>
    <w:basedOn w:val="Normlntabulka"/>
    <w:uiPriority w:val="39"/>
    <w:rsid w:val="00242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smene">
    <w:name w:val="Text písmene"/>
    <w:basedOn w:val="Normln"/>
    <w:rsid w:val="00242ECF"/>
    <w:pPr>
      <w:tabs>
        <w:tab w:val="num" w:pos="360"/>
      </w:tabs>
      <w:suppressAutoHyphens/>
      <w:outlineLvl w:val="7"/>
    </w:pPr>
    <w:rPr>
      <w:szCs w:val="20"/>
      <w:lang w:eastAsia="ar-SA"/>
    </w:rPr>
  </w:style>
  <w:style w:type="paragraph" w:styleId="Zpat">
    <w:name w:val="footer"/>
    <w:basedOn w:val="Normln"/>
    <w:link w:val="ZpatChar"/>
    <w:uiPriority w:val="99"/>
    <w:rsid w:val="00242ECF"/>
    <w:pPr>
      <w:tabs>
        <w:tab w:val="center" w:pos="4536"/>
        <w:tab w:val="right" w:pos="9072"/>
      </w:tabs>
    </w:pPr>
  </w:style>
  <w:style w:type="character" w:customStyle="1" w:styleId="ZpatChar">
    <w:name w:val="Zápatí Char"/>
    <w:basedOn w:val="Standardnpsmoodstavce"/>
    <w:link w:val="Zpat"/>
    <w:uiPriority w:val="99"/>
    <w:rsid w:val="00242ECF"/>
    <w:rPr>
      <w:rFonts w:ascii="Arial" w:hAnsi="Arial"/>
      <w:szCs w:val="24"/>
    </w:rPr>
  </w:style>
  <w:style w:type="character" w:styleId="slostrnky">
    <w:name w:val="page number"/>
    <w:basedOn w:val="Standardnpsmoodstavce"/>
    <w:uiPriority w:val="99"/>
    <w:rsid w:val="00242ECF"/>
  </w:style>
  <w:style w:type="paragraph" w:customStyle="1" w:styleId="Textodstavce">
    <w:name w:val="Text odstavce"/>
    <w:basedOn w:val="Normln"/>
    <w:rsid w:val="00242ECF"/>
    <w:pPr>
      <w:numPr>
        <w:ilvl w:val="6"/>
        <w:numId w:val="1"/>
      </w:numPr>
      <w:tabs>
        <w:tab w:val="left" w:pos="851"/>
      </w:tabs>
      <w:suppressAutoHyphens/>
      <w:outlineLvl w:val="6"/>
    </w:pPr>
    <w:rPr>
      <w:szCs w:val="20"/>
      <w:lang w:eastAsia="ar-SA"/>
    </w:rPr>
  </w:style>
  <w:style w:type="character" w:styleId="Odkaznakoment">
    <w:name w:val="annotation reference"/>
    <w:uiPriority w:val="99"/>
    <w:rsid w:val="00242ECF"/>
    <w:rPr>
      <w:sz w:val="16"/>
      <w:szCs w:val="16"/>
    </w:rPr>
  </w:style>
  <w:style w:type="paragraph" w:styleId="Zhlav">
    <w:name w:val="header"/>
    <w:basedOn w:val="Normln"/>
    <w:link w:val="ZhlavChar"/>
    <w:rsid w:val="00242ECF"/>
    <w:pPr>
      <w:tabs>
        <w:tab w:val="center" w:pos="4536"/>
        <w:tab w:val="right" w:pos="9072"/>
      </w:tabs>
    </w:pPr>
  </w:style>
  <w:style w:type="character" w:customStyle="1" w:styleId="ZhlavChar">
    <w:name w:val="Záhlaví Char"/>
    <w:basedOn w:val="Standardnpsmoodstavce"/>
    <w:link w:val="Zhlav"/>
    <w:rsid w:val="00242ECF"/>
    <w:rPr>
      <w:rFonts w:ascii="Arial" w:hAnsi="Arial"/>
      <w:szCs w:val="24"/>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rsid w:val="00B25A8F"/>
    <w:rPr>
      <w:rFonts w:ascii="Arial" w:hAnsi="Arial"/>
      <w:b/>
      <w:bCs/>
      <w:kern w:val="32"/>
      <w:sz w:val="22"/>
      <w:szCs w:val="28"/>
    </w:rPr>
  </w:style>
  <w:style w:type="paragraph" w:styleId="Textkomente">
    <w:name w:val="annotation text"/>
    <w:basedOn w:val="Normln"/>
    <w:link w:val="TextkomenteChar"/>
    <w:uiPriority w:val="99"/>
    <w:unhideWhenUsed/>
    <w:rsid w:val="00744EA5"/>
    <w:rPr>
      <w:szCs w:val="20"/>
    </w:rPr>
  </w:style>
  <w:style w:type="character" w:customStyle="1" w:styleId="TextkomenteChar">
    <w:name w:val="Text komentáře Char"/>
    <w:basedOn w:val="Standardnpsmoodstavce"/>
    <w:link w:val="Textkomente"/>
    <w:uiPriority w:val="99"/>
    <w:rsid w:val="00744EA5"/>
    <w:rPr>
      <w:rFonts w:ascii="Arial" w:hAnsi="Arial"/>
    </w:rPr>
  </w:style>
  <w:style w:type="paragraph" w:styleId="Pedmtkomente">
    <w:name w:val="annotation subject"/>
    <w:basedOn w:val="Textkomente"/>
    <w:next w:val="Textkomente"/>
    <w:link w:val="PedmtkomenteChar"/>
    <w:uiPriority w:val="99"/>
    <w:semiHidden/>
    <w:unhideWhenUsed/>
    <w:rsid w:val="00744EA5"/>
    <w:rPr>
      <w:b/>
      <w:bCs/>
    </w:rPr>
  </w:style>
  <w:style w:type="character" w:customStyle="1" w:styleId="PedmtkomenteChar">
    <w:name w:val="Předmět komentáře Char"/>
    <w:basedOn w:val="TextkomenteChar"/>
    <w:link w:val="Pedmtkomente"/>
    <w:uiPriority w:val="99"/>
    <w:semiHidden/>
    <w:rsid w:val="00744EA5"/>
    <w:rPr>
      <w:rFonts w:ascii="Arial" w:hAnsi="Arial"/>
      <w:b/>
      <w:bCs/>
    </w:rPr>
  </w:style>
  <w:style w:type="paragraph" w:styleId="Textbubliny">
    <w:name w:val="Balloon Text"/>
    <w:basedOn w:val="Normln"/>
    <w:link w:val="TextbublinyChar"/>
    <w:uiPriority w:val="99"/>
    <w:semiHidden/>
    <w:unhideWhenUsed/>
    <w:rsid w:val="00744EA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4EA5"/>
    <w:rPr>
      <w:rFonts w:ascii="Tahoma" w:hAnsi="Tahoma" w:cs="Tahoma"/>
      <w:sz w:val="16"/>
      <w:szCs w:val="16"/>
    </w:rPr>
  </w:style>
  <w:style w:type="paragraph" w:styleId="Nadpisobsahu">
    <w:name w:val="TOC Heading"/>
    <w:basedOn w:val="Nadpis1"/>
    <w:next w:val="Normln"/>
    <w:uiPriority w:val="39"/>
    <w:unhideWhenUsed/>
    <w:qFormat/>
    <w:rsid w:val="00CD7C94"/>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styleId="Obsah2">
    <w:name w:val="toc 2"/>
    <w:basedOn w:val="Normln"/>
    <w:next w:val="Normln"/>
    <w:autoRedefine/>
    <w:uiPriority w:val="39"/>
    <w:unhideWhenUsed/>
    <w:rsid w:val="00CD7C94"/>
    <w:pPr>
      <w:spacing w:after="100"/>
      <w:ind w:left="200"/>
    </w:pPr>
  </w:style>
  <w:style w:type="paragraph" w:styleId="Obsah3">
    <w:name w:val="toc 3"/>
    <w:basedOn w:val="Normln"/>
    <w:next w:val="Normln"/>
    <w:autoRedefine/>
    <w:uiPriority w:val="39"/>
    <w:unhideWhenUsed/>
    <w:rsid w:val="00CD7C94"/>
    <w:pPr>
      <w:spacing w:after="100"/>
      <w:ind w:left="400"/>
    </w:pPr>
  </w:style>
  <w:style w:type="character" w:styleId="Hypertextovodkaz">
    <w:name w:val="Hyperlink"/>
    <w:basedOn w:val="Standardnpsmoodstavce"/>
    <w:uiPriority w:val="99"/>
    <w:unhideWhenUsed/>
    <w:rsid w:val="00CD7C94"/>
    <w:rPr>
      <w:color w:val="0000FF" w:themeColor="hyperlink"/>
      <w:u w:val="single"/>
    </w:rPr>
  </w:style>
  <w:style w:type="paragraph" w:customStyle="1" w:styleId="Odrka">
    <w:name w:val="Odrážka"/>
    <w:basedOn w:val="Normln"/>
    <w:qFormat/>
    <w:rsid w:val="00834149"/>
    <w:pPr>
      <w:numPr>
        <w:numId w:val="3"/>
      </w:numPr>
      <w:spacing w:before="100" w:after="100"/>
      <w:ind w:left="714" w:hanging="357"/>
    </w:pPr>
  </w:style>
  <w:style w:type="paragraph" w:customStyle="1" w:styleId="OdrkaII">
    <w:name w:val="Odrážka II"/>
    <w:basedOn w:val="Normln"/>
    <w:qFormat/>
    <w:rsid w:val="00E40E37"/>
    <w:pPr>
      <w:numPr>
        <w:numId w:val="4"/>
      </w:numPr>
      <w:spacing w:before="60" w:after="60"/>
    </w:pPr>
  </w:style>
  <w:style w:type="paragraph" w:styleId="Zkladntextodsazen3">
    <w:name w:val="Body Text Indent 3"/>
    <w:basedOn w:val="Normln"/>
    <w:link w:val="Zkladntextodsazen3Char"/>
    <w:uiPriority w:val="99"/>
    <w:semiHidden/>
    <w:rsid w:val="00A6231B"/>
    <w:pPr>
      <w:ind w:left="283"/>
    </w:pPr>
    <w:rPr>
      <w:rFonts w:eastAsia="Calibri" w:cs="Arial"/>
      <w:sz w:val="16"/>
      <w:szCs w:val="20"/>
    </w:rPr>
  </w:style>
  <w:style w:type="character" w:customStyle="1" w:styleId="Zkladntextodsazen3Char">
    <w:name w:val="Základní text odsazený 3 Char"/>
    <w:basedOn w:val="Standardnpsmoodstavce"/>
    <w:link w:val="Zkladntextodsazen3"/>
    <w:uiPriority w:val="99"/>
    <w:semiHidden/>
    <w:rsid w:val="00A6231B"/>
    <w:rPr>
      <w:rFonts w:ascii="Arial" w:eastAsia="Calibri" w:hAnsi="Arial" w:cs="Arial"/>
      <w:sz w:val="16"/>
    </w:rPr>
  </w:style>
  <w:style w:type="paragraph" w:styleId="Zkladntext">
    <w:name w:val="Body Text"/>
    <w:basedOn w:val="Normln"/>
    <w:link w:val="ZkladntextChar"/>
    <w:uiPriority w:val="99"/>
    <w:semiHidden/>
    <w:unhideWhenUsed/>
    <w:rsid w:val="00D414FD"/>
  </w:style>
  <w:style w:type="character" w:customStyle="1" w:styleId="ZkladntextChar">
    <w:name w:val="Základní text Char"/>
    <w:basedOn w:val="Standardnpsmoodstavce"/>
    <w:link w:val="Zkladntext"/>
    <w:uiPriority w:val="99"/>
    <w:semiHidden/>
    <w:rsid w:val="00D414FD"/>
    <w:rPr>
      <w:rFonts w:ascii="Arial" w:hAnsi="Arial"/>
      <w:szCs w:val="24"/>
    </w:rPr>
  </w:style>
  <w:style w:type="paragraph" w:styleId="Zkladntext-prvnodsazen">
    <w:name w:val="Body Text First Indent"/>
    <w:basedOn w:val="Zkladntext"/>
    <w:link w:val="Zkladntext-prvnodsazenChar"/>
    <w:uiPriority w:val="99"/>
    <w:unhideWhenUsed/>
    <w:rsid w:val="00D414FD"/>
    <w:pPr>
      <w:ind w:firstLine="360"/>
    </w:pPr>
  </w:style>
  <w:style w:type="character" w:customStyle="1" w:styleId="Zkladntext-prvnodsazenChar">
    <w:name w:val="Základní text - první odsazený Char"/>
    <w:basedOn w:val="ZkladntextChar"/>
    <w:link w:val="Zkladntext-prvnodsazen"/>
    <w:uiPriority w:val="99"/>
    <w:rsid w:val="00D414FD"/>
    <w:rPr>
      <w:rFonts w:ascii="Arial" w:hAnsi="Arial"/>
      <w:szCs w:val="24"/>
    </w:rPr>
  </w:style>
  <w:style w:type="character" w:styleId="Zstupntext">
    <w:name w:val="Placeholder Text"/>
    <w:basedOn w:val="Standardnpsmoodstavce"/>
    <w:uiPriority w:val="99"/>
    <w:semiHidden/>
    <w:rsid w:val="00DD5BE7"/>
    <w:rPr>
      <w:color w:val="808080"/>
    </w:rPr>
  </w:style>
  <w:style w:type="character" w:styleId="Znakapoznpodarou">
    <w:name w:val="footnote reference"/>
    <w:aliases w:val="PGI Fußnote Ziffer"/>
    <w:basedOn w:val="Standardnpsmoodstavce"/>
    <w:uiPriority w:val="99"/>
    <w:unhideWhenUsed/>
    <w:rsid w:val="00F46FF7"/>
    <w:rPr>
      <w:vertAlign w:val="superscript"/>
    </w:rPr>
  </w:style>
  <w:style w:type="paragraph" w:styleId="Bezmezer">
    <w:name w:val="No Spacing"/>
    <w:link w:val="BezmezerChar"/>
    <w:uiPriority w:val="1"/>
    <w:qFormat/>
    <w:rsid w:val="00F46FF7"/>
    <w:rPr>
      <w:rFonts w:ascii="Calibri" w:eastAsia="Calibri" w:hAnsi="Calibri"/>
      <w:sz w:val="22"/>
      <w:szCs w:val="22"/>
      <w:lang w:eastAsia="en-US"/>
    </w:rPr>
  </w:style>
  <w:style w:type="character" w:customStyle="1" w:styleId="BezmezerChar">
    <w:name w:val="Bez mezer Char"/>
    <w:link w:val="Bezmezer"/>
    <w:rsid w:val="00F46FF7"/>
    <w:rPr>
      <w:rFonts w:ascii="Calibri" w:eastAsia="Calibri" w:hAnsi="Calibri"/>
      <w:sz w:val="22"/>
      <w:szCs w:val="22"/>
      <w:lang w:eastAsia="en-US"/>
    </w:rPr>
  </w:style>
  <w:style w:type="character" w:customStyle="1" w:styleId="Nadpis5Char">
    <w:name w:val="Nadpis 5 Char"/>
    <w:basedOn w:val="Standardnpsmoodstavce"/>
    <w:link w:val="Nadpis5"/>
    <w:uiPriority w:val="9"/>
    <w:rsid w:val="00381157"/>
    <w:rPr>
      <w:rFonts w:asciiTheme="majorHAnsi" w:eastAsiaTheme="majorEastAsia" w:hAnsiTheme="majorHAnsi" w:cstheme="majorBidi"/>
      <w:color w:val="365F91" w:themeColor="accent1" w:themeShade="BF"/>
      <w:szCs w:val="24"/>
    </w:rPr>
  </w:style>
  <w:style w:type="character" w:customStyle="1" w:styleId="Nevyeenzmnka1">
    <w:name w:val="Nevyřešená zmínka1"/>
    <w:basedOn w:val="Standardnpsmoodstavce"/>
    <w:uiPriority w:val="99"/>
    <w:semiHidden/>
    <w:unhideWhenUsed/>
    <w:rsid w:val="004E4383"/>
    <w:rPr>
      <w:color w:val="808080"/>
      <w:shd w:val="clear" w:color="auto" w:fill="E6E6E6"/>
    </w:rPr>
  </w:style>
  <w:style w:type="paragraph" w:styleId="slovanseznam">
    <w:name w:val="List Number"/>
    <w:basedOn w:val="Normln"/>
    <w:semiHidden/>
    <w:unhideWhenUsed/>
    <w:qFormat/>
    <w:rsid w:val="00855BDB"/>
    <w:pPr>
      <w:spacing w:before="0" w:after="40"/>
    </w:pPr>
    <w:rPr>
      <w:rFonts w:ascii="Times New Roman" w:hAnsi="Times New Roman"/>
      <w:color w:val="00000A"/>
      <w:sz w:val="22"/>
      <w:szCs w:val="20"/>
    </w:rPr>
  </w:style>
  <w:style w:type="paragraph" w:customStyle="1" w:styleId="Default">
    <w:name w:val="Default"/>
    <w:rsid w:val="00FA18BF"/>
    <w:pPr>
      <w:autoSpaceDE w:val="0"/>
      <w:autoSpaceDN w:val="0"/>
      <w:adjustRightInd w:val="0"/>
    </w:pPr>
    <w:rPr>
      <w:rFonts w:ascii="Arial" w:eastAsiaTheme="minorHAnsi" w:hAnsi="Arial" w:cs="Arial"/>
      <w:color w:val="000000"/>
      <w:sz w:val="24"/>
      <w:szCs w:val="24"/>
      <w:lang w:eastAsia="en-US"/>
    </w:rPr>
  </w:style>
  <w:style w:type="character" w:customStyle="1" w:styleId="OdrkaEQervenChar">
    <w:name w:val="Odrážka EQ červená Char"/>
    <w:link w:val="OdrkaEQerven"/>
    <w:locked/>
    <w:rsid w:val="0044703D"/>
    <w:rPr>
      <w:rFonts w:ascii="Garamond" w:hAnsi="Garamond" w:cs="Tahoma"/>
    </w:rPr>
  </w:style>
  <w:style w:type="paragraph" w:customStyle="1" w:styleId="OdrkaEQerven">
    <w:name w:val="Odrážka EQ červená"/>
    <w:basedOn w:val="Normln"/>
    <w:link w:val="OdrkaEQervenChar"/>
    <w:rsid w:val="0044703D"/>
    <w:pPr>
      <w:widowControl w:val="0"/>
      <w:tabs>
        <w:tab w:val="num" w:pos="567"/>
      </w:tabs>
      <w:spacing w:before="60" w:after="60"/>
      <w:ind w:left="567" w:hanging="567"/>
    </w:pPr>
    <w:rPr>
      <w:rFonts w:ascii="Garamond" w:hAnsi="Garamond" w:cs="Tahoma"/>
      <w:szCs w:val="20"/>
    </w:rPr>
  </w:style>
  <w:style w:type="paragraph" w:customStyle="1" w:styleId="Normal1">
    <w:name w:val="Normal 1"/>
    <w:basedOn w:val="Normln"/>
    <w:link w:val="Normal1Char"/>
    <w:uiPriority w:val="99"/>
    <w:rsid w:val="008E06AE"/>
    <w:pPr>
      <w:ind w:left="880"/>
    </w:pPr>
    <w:rPr>
      <w:rFonts w:ascii="Times New Roman" w:hAnsi="Times New Roman"/>
      <w:szCs w:val="20"/>
    </w:rPr>
  </w:style>
  <w:style w:type="character" w:customStyle="1" w:styleId="Normal1Char">
    <w:name w:val="Normal 1 Char"/>
    <w:link w:val="Normal1"/>
    <w:uiPriority w:val="99"/>
    <w:locked/>
    <w:rsid w:val="008E06AE"/>
  </w:style>
  <w:style w:type="paragraph" w:customStyle="1" w:styleId="RLTextlnkuslovan">
    <w:name w:val="RL Text článku číslovaný"/>
    <w:basedOn w:val="Normln"/>
    <w:link w:val="RLTextlnkuslovanChar"/>
    <w:qFormat/>
    <w:rsid w:val="008E06AE"/>
    <w:pPr>
      <w:numPr>
        <w:ilvl w:val="1"/>
        <w:numId w:val="5"/>
      </w:numPr>
      <w:spacing w:before="0" w:line="280" w:lineRule="exact"/>
    </w:pPr>
  </w:style>
  <w:style w:type="character" w:customStyle="1" w:styleId="RLTextlnkuslovanChar">
    <w:name w:val="RL Text článku číslovaný Char"/>
    <w:basedOn w:val="Standardnpsmoodstavce"/>
    <w:link w:val="RLTextlnkuslovan"/>
    <w:rsid w:val="008E06AE"/>
    <w:rPr>
      <w:rFonts w:ascii="Arial" w:hAnsi="Arial"/>
      <w:szCs w:val="24"/>
    </w:rPr>
  </w:style>
  <w:style w:type="paragraph" w:customStyle="1" w:styleId="RLlneksmlouvy">
    <w:name w:val="RL Článek smlouvy"/>
    <w:basedOn w:val="Normln"/>
    <w:next w:val="RLTextlnkuslovan"/>
    <w:qFormat/>
    <w:rsid w:val="008E06AE"/>
    <w:pPr>
      <w:keepNext/>
      <w:numPr>
        <w:numId w:val="5"/>
      </w:numPr>
      <w:suppressAutoHyphens/>
      <w:spacing w:before="360" w:line="280" w:lineRule="exact"/>
      <w:outlineLvl w:val="0"/>
    </w:pPr>
    <w:rPr>
      <w:b/>
      <w:lang w:eastAsia="en-US"/>
    </w:rPr>
  </w:style>
  <w:style w:type="table" w:styleId="Tabulkasmkou2zvraznn1">
    <w:name w:val="Grid Table 2 Accent 1"/>
    <w:basedOn w:val="Normlntabulka"/>
    <w:uiPriority w:val="47"/>
    <w:rsid w:val="004A65FA"/>
    <w:rPr>
      <w:rFonts w:ascii="Verdana" w:eastAsia="Calibri" w:hAnsi="Verdana"/>
      <w:lang w:val="en-GB"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tltabulkasmkou1">
    <w:name w:val="Grid Table 1 Light"/>
    <w:basedOn w:val="Normlntabulka"/>
    <w:uiPriority w:val="46"/>
    <w:rsid w:val="004A65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lnweb">
    <w:name w:val="Normal (Web)"/>
    <w:basedOn w:val="Normln"/>
    <w:uiPriority w:val="99"/>
    <w:semiHidden/>
    <w:unhideWhenUsed/>
    <w:rsid w:val="00793F9C"/>
    <w:pPr>
      <w:spacing w:before="100" w:beforeAutospacing="1" w:after="100" w:afterAutospacing="1"/>
      <w:jc w:val="left"/>
    </w:pPr>
    <w:rPr>
      <w:rFonts w:ascii="Times New Roman" w:hAnsi="Times New Roman"/>
      <w:sz w:val="24"/>
    </w:rPr>
  </w:style>
  <w:style w:type="paragraph" w:customStyle="1" w:styleId="l6">
    <w:name w:val="l6"/>
    <w:basedOn w:val="Normln"/>
    <w:rsid w:val="00793F9C"/>
    <w:pPr>
      <w:spacing w:before="100" w:beforeAutospacing="1" w:after="100" w:afterAutospacing="1"/>
      <w:jc w:val="left"/>
    </w:pPr>
    <w:rPr>
      <w:rFonts w:ascii="Times New Roman" w:hAnsi="Times New Roman"/>
      <w:sz w:val="24"/>
    </w:rPr>
  </w:style>
  <w:style w:type="character" w:styleId="PromnnHTML">
    <w:name w:val="HTML Variable"/>
    <w:basedOn w:val="Standardnpsmoodstavce"/>
    <w:uiPriority w:val="99"/>
    <w:semiHidden/>
    <w:unhideWhenUsed/>
    <w:rsid w:val="00793F9C"/>
    <w:rPr>
      <w:i/>
      <w:iCs/>
    </w:rPr>
  </w:style>
  <w:style w:type="paragraph" w:customStyle="1" w:styleId="Obsahtabulky">
    <w:name w:val="Obsah tabulky"/>
    <w:basedOn w:val="Normln"/>
    <w:rsid w:val="00F51FAA"/>
    <w:pPr>
      <w:suppressLineNumbers/>
      <w:suppressAutoHyphens/>
      <w:spacing w:before="0" w:after="0"/>
      <w:jc w:val="left"/>
    </w:pPr>
    <w:rPr>
      <w:rFonts w:ascii="Times New Roman" w:hAnsi="Times New Roman"/>
      <w:sz w:val="24"/>
      <w:lang w:eastAsia="ar-SA"/>
    </w:rPr>
  </w:style>
  <w:style w:type="paragraph" w:styleId="Zkladntextodsazen">
    <w:name w:val="Body Text Indent"/>
    <w:basedOn w:val="Normln"/>
    <w:link w:val="ZkladntextodsazenChar"/>
    <w:uiPriority w:val="99"/>
    <w:unhideWhenUsed/>
    <w:rsid w:val="00937BA8"/>
    <w:pPr>
      <w:autoSpaceDE w:val="0"/>
      <w:autoSpaceDN w:val="0"/>
      <w:spacing w:before="0"/>
      <w:ind w:left="283"/>
      <w:jc w:val="left"/>
    </w:pPr>
    <w:rPr>
      <w:rFonts w:cs="Arial"/>
      <w:color w:val="000000"/>
      <w:sz w:val="22"/>
    </w:rPr>
  </w:style>
  <w:style w:type="character" w:customStyle="1" w:styleId="ZkladntextodsazenChar">
    <w:name w:val="Základní text odsazený Char"/>
    <w:basedOn w:val="Standardnpsmoodstavce"/>
    <w:link w:val="Zkladntextodsazen"/>
    <w:uiPriority w:val="99"/>
    <w:rsid w:val="00937BA8"/>
    <w:rPr>
      <w:rFonts w:ascii="Arial" w:hAnsi="Arial" w:cs="Arial"/>
      <w:color w:val="000000"/>
      <w:sz w:val="22"/>
      <w:szCs w:val="24"/>
    </w:rPr>
  </w:style>
  <w:style w:type="character" w:customStyle="1" w:styleId="Nevyeenzmnka2">
    <w:name w:val="Nevyřešená zmínka2"/>
    <w:basedOn w:val="Standardnpsmoodstavce"/>
    <w:uiPriority w:val="99"/>
    <w:semiHidden/>
    <w:unhideWhenUsed/>
    <w:rsid w:val="00625F68"/>
    <w:rPr>
      <w:color w:val="605E5C"/>
      <w:shd w:val="clear" w:color="auto" w:fill="E1DFDD"/>
    </w:rPr>
  </w:style>
  <w:style w:type="paragraph" w:customStyle="1" w:styleId="Odsazen2">
    <w:name w:val="Odsazený_2"/>
    <w:basedOn w:val="Odstavecseseznamem"/>
    <w:qFormat/>
    <w:rsid w:val="00FB35D4"/>
    <w:pPr>
      <w:numPr>
        <w:numId w:val="6"/>
      </w:numPr>
      <w:suppressAutoHyphens/>
      <w:spacing w:before="0" w:after="0"/>
      <w:ind w:right="425"/>
    </w:pPr>
    <w:rPr>
      <w:rFonts w:cs="Arial"/>
      <w:szCs w:val="20"/>
    </w:rPr>
  </w:style>
  <w:style w:type="paragraph" w:customStyle="1" w:styleId="slovan01">
    <w:name w:val="Číslovaný_01"/>
    <w:basedOn w:val="Odsazen2"/>
    <w:qFormat/>
    <w:rsid w:val="00FB35D4"/>
    <w:pPr>
      <w:numPr>
        <w:numId w:val="7"/>
      </w:numPr>
      <w:spacing w:before="120" w:line="360" w:lineRule="auto"/>
      <w:ind w:right="0"/>
    </w:pPr>
    <w:rPr>
      <w:szCs w:val="18"/>
    </w:rPr>
  </w:style>
  <w:style w:type="character" w:styleId="Sledovanodkaz">
    <w:name w:val="FollowedHyperlink"/>
    <w:basedOn w:val="Standardnpsmoodstavce"/>
    <w:uiPriority w:val="99"/>
    <w:semiHidden/>
    <w:unhideWhenUsed/>
    <w:rsid w:val="00875250"/>
    <w:rPr>
      <w:color w:val="800080" w:themeColor="followedHyperlink"/>
      <w:u w:val="single"/>
    </w:rPr>
  </w:style>
  <w:style w:type="paragraph" w:styleId="Nzev">
    <w:name w:val="Title"/>
    <w:basedOn w:val="Normln"/>
    <w:next w:val="Normln"/>
    <w:link w:val="NzevChar"/>
    <w:qFormat/>
    <w:rsid w:val="00C93123"/>
    <w:pPr>
      <w:keepNext/>
      <w:spacing w:after="60"/>
      <w:jc w:val="center"/>
    </w:pPr>
    <w:rPr>
      <w:rFonts w:cs="Arial"/>
      <w:b/>
      <w:szCs w:val="20"/>
    </w:rPr>
  </w:style>
  <w:style w:type="character" w:customStyle="1" w:styleId="NzevChar">
    <w:name w:val="Název Char"/>
    <w:basedOn w:val="Standardnpsmoodstavce"/>
    <w:link w:val="Nzev"/>
    <w:rsid w:val="00C93123"/>
    <w:rPr>
      <w:rFonts w:ascii="Arial" w:hAnsi="Arial" w:cs="Arial"/>
      <w:b/>
    </w:rPr>
  </w:style>
  <w:style w:type="paragraph" w:styleId="Revize">
    <w:name w:val="Revision"/>
    <w:hidden/>
    <w:uiPriority w:val="99"/>
    <w:semiHidden/>
    <w:rsid w:val="009456CA"/>
    <w:rPr>
      <w:rFonts w:ascii="Arial" w:hAnsi="Arial"/>
      <w:szCs w:val="24"/>
    </w:rPr>
  </w:style>
  <w:style w:type="table" w:customStyle="1" w:styleId="Svtltabulkasmkou11">
    <w:name w:val="Světlá tabulka s mřížkou 11"/>
    <w:basedOn w:val="Normlntabulka"/>
    <w:uiPriority w:val="46"/>
    <w:rsid w:val="00D83922"/>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ulka-normln">
    <w:name w:val="Tabulka - normální"/>
    <w:basedOn w:val="Normln"/>
    <w:uiPriority w:val="99"/>
    <w:qFormat/>
    <w:rsid w:val="00A104BF"/>
    <w:pPr>
      <w:spacing w:before="60" w:after="60"/>
      <w:ind w:left="57" w:right="57"/>
    </w:pPr>
  </w:style>
  <w:style w:type="paragraph" w:customStyle="1" w:styleId="Odrkaedivkurzva-ern">
    <w:name w:val="Odrážka šedivá kurzíva - černá"/>
    <w:basedOn w:val="Odstavecseseznamem"/>
    <w:qFormat/>
    <w:rsid w:val="00A104BF"/>
    <w:pPr>
      <w:numPr>
        <w:numId w:val="8"/>
      </w:numPr>
      <w:spacing w:before="60" w:after="60"/>
      <w:ind w:left="453" w:hanging="340"/>
      <w:contextualSpacing w:val="0"/>
    </w:pPr>
    <w:rPr>
      <w:rFonts w:eastAsiaTheme="minorHAnsi"/>
      <w:i/>
      <w:color w:val="7F7F7F" w:themeColor="text1" w:themeTint="80"/>
      <w:szCs w:val="20"/>
    </w:rPr>
  </w:style>
  <w:style w:type="paragraph" w:customStyle="1" w:styleId="pf0">
    <w:name w:val="pf0"/>
    <w:basedOn w:val="Normln"/>
    <w:rsid w:val="00B94F69"/>
    <w:pPr>
      <w:spacing w:before="100" w:beforeAutospacing="1" w:after="100" w:afterAutospacing="1"/>
      <w:jc w:val="left"/>
    </w:pPr>
    <w:rPr>
      <w:rFonts w:ascii="Times New Roman" w:hAnsi="Times New Roman"/>
      <w:sz w:val="24"/>
    </w:rPr>
  </w:style>
  <w:style w:type="character" w:customStyle="1" w:styleId="cf01">
    <w:name w:val="cf01"/>
    <w:basedOn w:val="Standardnpsmoodstavce"/>
    <w:rsid w:val="00B94F69"/>
    <w:rPr>
      <w:rFonts w:ascii="Segoe UI" w:hAnsi="Segoe UI" w:cs="Segoe UI" w:hint="default"/>
      <w:sz w:val="18"/>
      <w:szCs w:val="18"/>
    </w:rPr>
  </w:style>
  <w:style w:type="paragraph" w:customStyle="1" w:styleId="Normln-Odstavec">
    <w:name w:val="Normální - Odstavec"/>
    <w:basedOn w:val="Normln"/>
    <w:link w:val="Normln-OdstavecCharChar"/>
    <w:uiPriority w:val="99"/>
    <w:rsid w:val="00802160"/>
    <w:pPr>
      <w:tabs>
        <w:tab w:val="num" w:pos="567"/>
      </w:tabs>
      <w:spacing w:before="0"/>
    </w:pPr>
    <w:rPr>
      <w:rFonts w:ascii="Times New Roman" w:eastAsia="MS ??" w:hAnsi="Times New Roman"/>
      <w:sz w:val="22"/>
      <w:lang w:eastAsia="x-none"/>
    </w:rPr>
  </w:style>
  <w:style w:type="paragraph" w:customStyle="1" w:styleId="Normln-Psmeno">
    <w:name w:val="Normální - Písmeno"/>
    <w:basedOn w:val="Normln"/>
    <w:uiPriority w:val="99"/>
    <w:rsid w:val="00802160"/>
    <w:pPr>
      <w:spacing w:before="0"/>
      <w:ind w:left="1134" w:hanging="850"/>
    </w:pPr>
    <w:rPr>
      <w:rFonts w:ascii="Times New Roman" w:eastAsia="MS ??" w:hAnsi="Times New Roman"/>
      <w:sz w:val="22"/>
    </w:rPr>
  </w:style>
  <w:style w:type="paragraph" w:customStyle="1" w:styleId="Normln-msk">
    <w:name w:val="Normální - Římská"/>
    <w:basedOn w:val="Normln"/>
    <w:uiPriority w:val="99"/>
    <w:rsid w:val="00802160"/>
    <w:pPr>
      <w:tabs>
        <w:tab w:val="num" w:pos="1701"/>
        <w:tab w:val="left" w:pos="1985"/>
      </w:tabs>
      <w:spacing w:before="0"/>
      <w:ind w:left="1134"/>
    </w:pPr>
    <w:rPr>
      <w:rFonts w:ascii="Times New Roman" w:eastAsia="MS ??" w:hAnsi="Times New Roman"/>
      <w:sz w:val="22"/>
      <w:lang w:eastAsia="en-US"/>
    </w:rPr>
  </w:style>
  <w:style w:type="character" w:customStyle="1" w:styleId="Normln-OdstavecCharChar">
    <w:name w:val="Normální - Odstavec Char Char"/>
    <w:link w:val="Normln-Odstavec"/>
    <w:uiPriority w:val="99"/>
    <w:locked/>
    <w:rsid w:val="00802160"/>
    <w:rPr>
      <w:rFonts w:eastAsia="MS ??"/>
      <w:sz w:val="22"/>
      <w:szCs w:val="24"/>
      <w:lang w:eastAsia="x-none"/>
    </w:rPr>
  </w:style>
  <w:style w:type="character" w:customStyle="1" w:styleId="Nadpis6Char">
    <w:name w:val="Nadpis 6 Char"/>
    <w:aliases w:val="- po straně Char,ASAPHeading 6 Char,h6 Char,hsm Char,H6 Char,- po straně1 Char,- po straně2 Char,- po straně3 Char,- po straně4 Char,- po straně11 Char,- po straně21 Char,- po straně31 Char,- po straně5 Char,- po straně6 Char,MUS Char"/>
    <w:basedOn w:val="Standardnpsmoodstavce"/>
    <w:link w:val="Nadpis6"/>
    <w:uiPriority w:val="9"/>
    <w:rsid w:val="00A27162"/>
    <w:rPr>
      <w:rFonts w:asciiTheme="majorHAnsi" w:eastAsiaTheme="majorEastAsia" w:hAnsiTheme="majorHAnsi" w:cstheme="majorBidi"/>
      <w:color w:val="243F60" w:themeColor="accent1" w:themeShade="7F"/>
      <w:sz w:val="22"/>
      <w:szCs w:val="22"/>
      <w:lang w:eastAsia="en-US"/>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basedOn w:val="Standardnpsmoodstavce"/>
    <w:link w:val="Nadpis7"/>
    <w:uiPriority w:val="9"/>
    <w:rsid w:val="00A27162"/>
    <w:rPr>
      <w:rFonts w:asciiTheme="majorHAnsi" w:eastAsiaTheme="majorEastAsia" w:hAnsiTheme="majorHAnsi" w:cstheme="majorBidi"/>
      <w:i/>
      <w:iCs/>
      <w:color w:val="243F60" w:themeColor="accent1" w:themeShade="7F"/>
      <w:sz w:val="22"/>
      <w:szCs w:val="22"/>
      <w:lang w:eastAsia="en-US"/>
    </w:rPr>
  </w:style>
  <w:style w:type="character" w:customStyle="1" w:styleId="Nadpis8Char">
    <w:name w:val="Nadpis 8 Char"/>
    <w:aliases w:val="ASAPHeading 8 Char,MUS8 Char,H8 Char,(Appendici) Char,action Char,action1 Char,action2 Char,action11 Char,action3 Char,action4 Char,action5 Char,action6 Char,action7 Char,action12 Char,action21 Char,action111 Char,action31 Char"/>
    <w:basedOn w:val="Standardnpsmoodstavce"/>
    <w:link w:val="Nadpis8"/>
    <w:rsid w:val="00A27162"/>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aliases w:val="Nadpis 91 Char,ASAPHeading 9 Char,h9 Char,heading9 Char,MUS9 Char,H9 Char,(Bibliografia) Char,progress Char,progress1 Char,progress2 Char,progress11 Char,progress3 Char,progress4 Char,progress5 Char,progress6 Char,progress7 Char"/>
    <w:basedOn w:val="Standardnpsmoodstavce"/>
    <w:link w:val="Nadpis9"/>
    <w:rsid w:val="00A27162"/>
    <w:rPr>
      <w:rFonts w:asciiTheme="majorHAnsi" w:eastAsiaTheme="majorEastAsia" w:hAnsiTheme="majorHAnsi" w:cstheme="majorBidi"/>
      <w:i/>
      <w:iCs/>
      <w:color w:val="272727" w:themeColor="text1" w:themeTint="D8"/>
      <w:sz w:val="21"/>
      <w:szCs w:val="21"/>
      <w:lang w:eastAsia="en-US"/>
    </w:rPr>
  </w:style>
  <w:style w:type="character" w:customStyle="1" w:styleId="Heading2Char">
    <w:name w:val="Heading 2 Char"/>
    <w:uiPriority w:val="99"/>
    <w:semiHidden/>
    <w:rsid w:val="00A27162"/>
    <w:rPr>
      <w:rFonts w:ascii="Cambria" w:hAnsi="Cambria" w:cs="Times New Roman"/>
      <w:b/>
      <w:bCs/>
      <w:i/>
      <w:iCs/>
      <w:sz w:val="28"/>
      <w:szCs w:val="28"/>
      <w:lang w:val="en-US" w:eastAsia="en-US"/>
    </w:rPr>
  </w:style>
  <w:style w:type="paragraph" w:styleId="Titulek">
    <w:name w:val="caption"/>
    <w:basedOn w:val="Normln"/>
    <w:next w:val="Normln"/>
    <w:unhideWhenUsed/>
    <w:qFormat/>
    <w:rsid w:val="00A27162"/>
    <w:pPr>
      <w:spacing w:before="0"/>
    </w:pPr>
    <w:rPr>
      <w:rFonts w:ascii="Times New Roman" w:eastAsia="MS ??" w:hAnsi="Times New Roman"/>
      <w:b/>
      <w:bCs/>
      <w:szCs w:val="20"/>
      <w:lang w:eastAsia="en-US"/>
    </w:rPr>
  </w:style>
  <w:style w:type="paragraph" w:styleId="Podnadpis">
    <w:name w:val="Subtitle"/>
    <w:basedOn w:val="Normln"/>
    <w:next w:val="Normln"/>
    <w:link w:val="PodnadpisChar"/>
    <w:uiPriority w:val="11"/>
    <w:qFormat/>
    <w:rsid w:val="00A27162"/>
    <w:pPr>
      <w:numPr>
        <w:ilvl w:val="1"/>
      </w:numPr>
      <w:spacing w:before="240" w:after="200" w:line="276" w:lineRule="auto"/>
      <w:jc w:val="left"/>
    </w:pPr>
    <w:rPr>
      <w:rFonts w:ascii="Cambria" w:hAnsi="Cambria"/>
      <w:i/>
      <w:iCs/>
      <w:color w:val="4F81BD"/>
      <w:spacing w:val="15"/>
      <w:sz w:val="24"/>
      <w:lang w:eastAsia="en-US"/>
    </w:rPr>
  </w:style>
  <w:style w:type="character" w:customStyle="1" w:styleId="PodnadpisChar">
    <w:name w:val="Podnadpis Char"/>
    <w:basedOn w:val="Standardnpsmoodstavce"/>
    <w:link w:val="Podnadpis"/>
    <w:uiPriority w:val="11"/>
    <w:rsid w:val="00A27162"/>
    <w:rPr>
      <w:rFonts w:ascii="Cambria" w:hAnsi="Cambria"/>
      <w:i/>
      <w:iCs/>
      <w:color w:val="4F81BD"/>
      <w:spacing w:val="15"/>
      <w:sz w:val="24"/>
      <w:szCs w:val="24"/>
      <w:lang w:eastAsia="en-US"/>
    </w:rPr>
  </w:style>
  <w:style w:type="character" w:customStyle="1" w:styleId="para1">
    <w:name w:val="para1"/>
    <w:rsid w:val="00A27162"/>
    <w:rPr>
      <w:rFonts w:ascii="Arial" w:hAnsi="Arial" w:cs="Arial"/>
      <w:sz w:val="18"/>
      <w:szCs w:val="18"/>
    </w:rPr>
  </w:style>
  <w:style w:type="paragraph" w:customStyle="1" w:styleId="ListParagraph1">
    <w:name w:val="List Paragraph1"/>
    <w:basedOn w:val="Normln"/>
    <w:rsid w:val="00A27162"/>
    <w:pPr>
      <w:widowControl w:val="0"/>
      <w:suppressAutoHyphens/>
      <w:spacing w:before="0" w:after="0"/>
      <w:ind w:left="720"/>
      <w:jc w:val="left"/>
    </w:pPr>
    <w:rPr>
      <w:rFonts w:ascii="Liberation Serif" w:eastAsia="Arial" w:hAnsi="Liberation Serif" w:cs="Lucida Sans"/>
      <w:kern w:val="1"/>
      <w:sz w:val="24"/>
      <w:lang w:eastAsia="hi-IN" w:bidi="hi-IN"/>
    </w:rPr>
  </w:style>
  <w:style w:type="character" w:customStyle="1" w:styleId="Zvraznn1">
    <w:name w:val="Zvýraznění1"/>
    <w:qFormat/>
    <w:locked/>
    <w:rsid w:val="00A27162"/>
    <w:rPr>
      <w:i/>
      <w:iCs/>
      <w:color w:val="5A5A5A"/>
    </w:rPr>
  </w:style>
  <w:style w:type="paragraph" w:customStyle="1" w:styleId="Nadpistabulky">
    <w:name w:val="Nadpis tabulky"/>
    <w:basedOn w:val="Obsahtabulky"/>
    <w:rsid w:val="00A27162"/>
    <w:pPr>
      <w:widowControl w:val="0"/>
      <w:jc w:val="center"/>
    </w:pPr>
    <w:rPr>
      <w:rFonts w:ascii="Calibri" w:eastAsia="DejaVu Sans" w:hAnsi="Calibri" w:cs="Calibri"/>
      <w:b/>
      <w:bCs/>
      <w:kern w:val="1"/>
      <w:sz w:val="20"/>
      <w:szCs w:val="20"/>
      <w:lang w:eastAsia="cs-CZ"/>
    </w:rPr>
  </w:style>
  <w:style w:type="paragraph" w:customStyle="1" w:styleId="Tabulka">
    <w:name w:val="Tabulka"/>
    <w:basedOn w:val="Normln"/>
    <w:next w:val="Normln"/>
    <w:qFormat/>
    <w:rsid w:val="00A27162"/>
    <w:pPr>
      <w:numPr>
        <w:numId w:val="16"/>
      </w:numPr>
      <w:spacing w:before="200" w:after="200" w:line="276" w:lineRule="auto"/>
      <w:jc w:val="center"/>
    </w:pPr>
    <w:rPr>
      <w:rFonts w:ascii="Calibri" w:hAnsi="Calibri"/>
      <w:szCs w:val="20"/>
      <w:lang w:eastAsia="en-US" w:bidi="en-US"/>
    </w:rPr>
  </w:style>
  <w:style w:type="paragraph" w:customStyle="1" w:styleId="Odstavecinzert">
    <w:name w:val="Odstavec inzert"/>
    <w:basedOn w:val="Normln"/>
    <w:rsid w:val="00A27162"/>
    <w:pPr>
      <w:spacing w:before="0" w:after="0"/>
      <w:ind w:left="340"/>
    </w:pPr>
    <w:rPr>
      <w:rFonts w:eastAsia="Calibri" w:cs="Arial"/>
      <w:szCs w:val="20"/>
    </w:rPr>
  </w:style>
  <w:style w:type="paragraph" w:customStyle="1" w:styleId="Text">
    <w:name w:val="Text"/>
    <w:basedOn w:val="Normln"/>
    <w:rsid w:val="00A27162"/>
    <w:pPr>
      <w:spacing w:before="0"/>
      <w:ind w:left="1134"/>
    </w:pPr>
    <w:rPr>
      <w:rFonts w:eastAsia="Calibri" w:cs="Arial"/>
      <w:sz w:val="22"/>
      <w:szCs w:val="22"/>
    </w:rPr>
  </w:style>
  <w:style w:type="character" w:customStyle="1" w:styleId="Nadpis4Char1">
    <w:name w:val="Nadpis 4 Char1"/>
    <w:aliases w:val="1.podnadpis Char,H4 Char,Heading 4 Char2 Char,Heading 4 Char1 Char Char,Heading 4 Char Char Char Char,Heading 4 Char Char1 Char,Nadpis 4 Char Char,1-1 Char,Odstavec 1 Char,Odstavec 11 Char,Odstavec 12 Char,Odstavec 13 Char,V_He Char"/>
    <w:basedOn w:val="Standardnpsmoodstavce"/>
    <w:rsid w:val="00A27162"/>
    <w:rPr>
      <w:rFonts w:asciiTheme="majorHAnsi" w:eastAsiaTheme="majorEastAsia" w:hAnsiTheme="majorHAnsi" w:cstheme="majorBidi"/>
      <w:i/>
      <w:iCs/>
      <w:color w:val="365F91" w:themeColor="accent1" w:themeShade="BF"/>
      <w:sz w:val="22"/>
      <w:szCs w:val="22"/>
      <w:lang w:eastAsia="en-US"/>
    </w:rPr>
  </w:style>
  <w:style w:type="character" w:styleId="Siln">
    <w:name w:val="Strong"/>
    <w:basedOn w:val="Standardnpsmoodstavce"/>
    <w:uiPriority w:val="22"/>
    <w:qFormat/>
    <w:rsid w:val="00A27162"/>
    <w:rPr>
      <w:b/>
      <w:bCs/>
    </w:rPr>
  </w:style>
  <w:style w:type="character" w:styleId="Zdraznn">
    <w:name w:val="Emphasis"/>
    <w:basedOn w:val="Standardnpsmoodstavce"/>
    <w:uiPriority w:val="20"/>
    <w:qFormat/>
    <w:rsid w:val="00A27162"/>
    <w:rPr>
      <w:i/>
      <w:iCs/>
      <w:color w:val="000000" w:themeColor="text1"/>
    </w:rPr>
  </w:style>
  <w:style w:type="table" w:styleId="Svtlseznamzvraznn1">
    <w:name w:val="Light List Accent 1"/>
    <w:basedOn w:val="Normlntabulka"/>
    <w:uiPriority w:val="61"/>
    <w:rsid w:val="00A27162"/>
    <w:pPr>
      <w:spacing w:after="120" w:line="264" w:lineRule="auto"/>
    </w:pPr>
    <w:rPr>
      <w:rFonts w:asciiTheme="minorHAnsi" w:eastAsiaTheme="minorEastAsia" w:hAnsiTheme="minorHAnsi" w:cstheme="minorBidi"/>
      <w:sz w:val="21"/>
      <w:szCs w:val="2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Internetovodkaz">
    <w:name w:val="Internetový odkaz"/>
    <w:basedOn w:val="Standardnpsmoodstavce"/>
    <w:uiPriority w:val="99"/>
    <w:unhideWhenUsed/>
    <w:rsid w:val="00A27162"/>
    <w:rPr>
      <w:color w:val="0000FF" w:themeColor="hyperlink"/>
      <w:u w:val="single"/>
    </w:rPr>
  </w:style>
  <w:style w:type="paragraph" w:customStyle="1" w:styleId="Pedformtovantext">
    <w:name w:val="Předformátovaný text"/>
    <w:basedOn w:val="Normln"/>
    <w:qFormat/>
    <w:rsid w:val="00A27162"/>
    <w:pPr>
      <w:suppressAutoHyphens/>
      <w:spacing w:before="0" w:after="0" w:line="259" w:lineRule="auto"/>
      <w:jc w:val="left"/>
    </w:pPr>
    <w:rPr>
      <w:rFonts w:ascii="Liberation Mono" w:eastAsia="Liberation Mono" w:hAnsi="Liberation Mono" w:cs="Liberation Mono"/>
      <w:szCs w:val="20"/>
      <w:lang w:eastAsia="en-US"/>
    </w:rPr>
  </w:style>
  <w:style w:type="numbering" w:customStyle="1" w:styleId="WW8Num9">
    <w:name w:val="WW8Num9"/>
    <w:basedOn w:val="Bezseznamu"/>
    <w:rsid w:val="00A27162"/>
    <w:pPr>
      <w:numPr>
        <w:numId w:val="17"/>
      </w:numPr>
    </w:pPr>
  </w:style>
  <w:style w:type="paragraph" w:customStyle="1" w:styleId="3Nepslunpoadavek">
    <w:name w:val="3. Nepříslušný požadavek"/>
    <w:basedOn w:val="Odstavecseseznamem"/>
    <w:qFormat/>
    <w:rsid w:val="00A27162"/>
    <w:pPr>
      <w:numPr>
        <w:numId w:val="18"/>
      </w:numPr>
      <w:spacing w:before="0" w:after="0" w:line="276" w:lineRule="auto"/>
    </w:pPr>
    <w:rPr>
      <w:rFonts w:asciiTheme="majorHAnsi" w:eastAsia="Calibri" w:hAnsiTheme="majorHAnsi"/>
      <w:b/>
      <w:bCs/>
      <w:color w:val="FFC000"/>
      <w:lang w:eastAsia="en-US"/>
    </w:rPr>
  </w:style>
  <w:style w:type="paragraph" w:customStyle="1" w:styleId="19anodst">
    <w:name w:val="19an_odst"/>
    <w:basedOn w:val="Normln"/>
    <w:rsid w:val="00A27162"/>
    <w:pPr>
      <w:tabs>
        <w:tab w:val="left" w:pos="567"/>
        <w:tab w:val="right" w:pos="9639"/>
      </w:tabs>
      <w:spacing w:before="0" w:after="60"/>
    </w:pPr>
    <w:rPr>
      <w:rFonts w:ascii="Arial Narrow" w:hAnsi="Arial Narrow"/>
      <w:sz w:val="18"/>
      <w:szCs w:val="20"/>
    </w:rPr>
  </w:style>
  <w:style w:type="paragraph" w:customStyle="1" w:styleId="Marbesnormln">
    <w:name w:val="Marbes normální"/>
    <w:basedOn w:val="Normln"/>
    <w:link w:val="MarbesnormlnChar"/>
    <w:rsid w:val="00A27162"/>
    <w:pPr>
      <w:spacing w:before="0"/>
    </w:pPr>
    <w:rPr>
      <w:rFonts w:ascii="Times New Roman" w:hAnsi="Times New Roman"/>
      <w:szCs w:val="20"/>
    </w:rPr>
  </w:style>
  <w:style w:type="character" w:customStyle="1" w:styleId="MarbesnormlnChar">
    <w:name w:val="Marbes normální Char"/>
    <w:link w:val="Marbesnormln"/>
    <w:rsid w:val="00A27162"/>
  </w:style>
  <w:style w:type="paragraph" w:customStyle="1" w:styleId="ACNadpis2">
    <w:name w:val="AC Nadpis 2"/>
    <w:basedOn w:val="Normln"/>
    <w:next w:val="Normln"/>
    <w:uiPriority w:val="1"/>
    <w:qFormat/>
    <w:rsid w:val="00A27162"/>
    <w:pPr>
      <w:keepNext/>
      <w:spacing w:before="240" w:line="276" w:lineRule="auto"/>
      <w:jc w:val="left"/>
      <w:outlineLvl w:val="1"/>
    </w:pPr>
    <w:rPr>
      <w:rFonts w:asciiTheme="minorHAnsi" w:hAnsiTheme="minorHAnsi"/>
      <w:caps/>
      <w:sz w:val="28"/>
      <w:szCs w:val="28"/>
    </w:rPr>
  </w:style>
  <w:style w:type="table" w:customStyle="1" w:styleId="Deloittetable31">
    <w:name w:val="Deloitte table 31"/>
    <w:basedOn w:val="Normlntabulka"/>
    <w:next w:val="Mkatabulky"/>
    <w:uiPriority w:val="39"/>
    <w:rsid w:val="00A2716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eenzmnka">
    <w:name w:val="Unresolved Mention"/>
    <w:basedOn w:val="Standardnpsmoodstavce"/>
    <w:uiPriority w:val="99"/>
    <w:semiHidden/>
    <w:unhideWhenUsed/>
    <w:rsid w:val="00A27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0455">
      <w:bodyDiv w:val="1"/>
      <w:marLeft w:val="0"/>
      <w:marRight w:val="0"/>
      <w:marTop w:val="0"/>
      <w:marBottom w:val="0"/>
      <w:divBdr>
        <w:top w:val="none" w:sz="0" w:space="0" w:color="auto"/>
        <w:left w:val="none" w:sz="0" w:space="0" w:color="auto"/>
        <w:bottom w:val="none" w:sz="0" w:space="0" w:color="auto"/>
        <w:right w:val="none" w:sz="0" w:space="0" w:color="auto"/>
      </w:divBdr>
    </w:div>
    <w:div w:id="68429275">
      <w:bodyDiv w:val="1"/>
      <w:marLeft w:val="0"/>
      <w:marRight w:val="0"/>
      <w:marTop w:val="0"/>
      <w:marBottom w:val="0"/>
      <w:divBdr>
        <w:top w:val="none" w:sz="0" w:space="0" w:color="auto"/>
        <w:left w:val="none" w:sz="0" w:space="0" w:color="auto"/>
        <w:bottom w:val="none" w:sz="0" w:space="0" w:color="auto"/>
        <w:right w:val="none" w:sz="0" w:space="0" w:color="auto"/>
      </w:divBdr>
    </w:div>
    <w:div w:id="155851190">
      <w:bodyDiv w:val="1"/>
      <w:marLeft w:val="0"/>
      <w:marRight w:val="0"/>
      <w:marTop w:val="0"/>
      <w:marBottom w:val="0"/>
      <w:divBdr>
        <w:top w:val="none" w:sz="0" w:space="0" w:color="auto"/>
        <w:left w:val="none" w:sz="0" w:space="0" w:color="auto"/>
        <w:bottom w:val="none" w:sz="0" w:space="0" w:color="auto"/>
        <w:right w:val="none" w:sz="0" w:space="0" w:color="auto"/>
      </w:divBdr>
    </w:div>
    <w:div w:id="197091516">
      <w:bodyDiv w:val="1"/>
      <w:marLeft w:val="0"/>
      <w:marRight w:val="0"/>
      <w:marTop w:val="0"/>
      <w:marBottom w:val="0"/>
      <w:divBdr>
        <w:top w:val="none" w:sz="0" w:space="0" w:color="auto"/>
        <w:left w:val="none" w:sz="0" w:space="0" w:color="auto"/>
        <w:bottom w:val="none" w:sz="0" w:space="0" w:color="auto"/>
        <w:right w:val="none" w:sz="0" w:space="0" w:color="auto"/>
      </w:divBdr>
    </w:div>
    <w:div w:id="213780846">
      <w:bodyDiv w:val="1"/>
      <w:marLeft w:val="0"/>
      <w:marRight w:val="0"/>
      <w:marTop w:val="0"/>
      <w:marBottom w:val="0"/>
      <w:divBdr>
        <w:top w:val="none" w:sz="0" w:space="0" w:color="auto"/>
        <w:left w:val="none" w:sz="0" w:space="0" w:color="auto"/>
        <w:bottom w:val="none" w:sz="0" w:space="0" w:color="auto"/>
        <w:right w:val="none" w:sz="0" w:space="0" w:color="auto"/>
      </w:divBdr>
    </w:div>
    <w:div w:id="313992026">
      <w:bodyDiv w:val="1"/>
      <w:marLeft w:val="0"/>
      <w:marRight w:val="0"/>
      <w:marTop w:val="0"/>
      <w:marBottom w:val="0"/>
      <w:divBdr>
        <w:top w:val="none" w:sz="0" w:space="0" w:color="auto"/>
        <w:left w:val="none" w:sz="0" w:space="0" w:color="auto"/>
        <w:bottom w:val="none" w:sz="0" w:space="0" w:color="auto"/>
        <w:right w:val="none" w:sz="0" w:space="0" w:color="auto"/>
      </w:divBdr>
    </w:div>
    <w:div w:id="391003790">
      <w:bodyDiv w:val="1"/>
      <w:marLeft w:val="0"/>
      <w:marRight w:val="0"/>
      <w:marTop w:val="0"/>
      <w:marBottom w:val="0"/>
      <w:divBdr>
        <w:top w:val="none" w:sz="0" w:space="0" w:color="auto"/>
        <w:left w:val="none" w:sz="0" w:space="0" w:color="auto"/>
        <w:bottom w:val="none" w:sz="0" w:space="0" w:color="auto"/>
        <w:right w:val="none" w:sz="0" w:space="0" w:color="auto"/>
      </w:divBdr>
    </w:div>
    <w:div w:id="402679386">
      <w:bodyDiv w:val="1"/>
      <w:marLeft w:val="0"/>
      <w:marRight w:val="0"/>
      <w:marTop w:val="0"/>
      <w:marBottom w:val="0"/>
      <w:divBdr>
        <w:top w:val="none" w:sz="0" w:space="0" w:color="auto"/>
        <w:left w:val="none" w:sz="0" w:space="0" w:color="auto"/>
        <w:bottom w:val="none" w:sz="0" w:space="0" w:color="auto"/>
        <w:right w:val="none" w:sz="0" w:space="0" w:color="auto"/>
      </w:divBdr>
    </w:div>
    <w:div w:id="557591857">
      <w:bodyDiv w:val="1"/>
      <w:marLeft w:val="0"/>
      <w:marRight w:val="0"/>
      <w:marTop w:val="0"/>
      <w:marBottom w:val="0"/>
      <w:divBdr>
        <w:top w:val="none" w:sz="0" w:space="0" w:color="auto"/>
        <w:left w:val="none" w:sz="0" w:space="0" w:color="auto"/>
        <w:bottom w:val="none" w:sz="0" w:space="0" w:color="auto"/>
        <w:right w:val="none" w:sz="0" w:space="0" w:color="auto"/>
      </w:divBdr>
    </w:div>
    <w:div w:id="563370179">
      <w:bodyDiv w:val="1"/>
      <w:marLeft w:val="0"/>
      <w:marRight w:val="0"/>
      <w:marTop w:val="0"/>
      <w:marBottom w:val="0"/>
      <w:divBdr>
        <w:top w:val="none" w:sz="0" w:space="0" w:color="auto"/>
        <w:left w:val="none" w:sz="0" w:space="0" w:color="auto"/>
        <w:bottom w:val="none" w:sz="0" w:space="0" w:color="auto"/>
        <w:right w:val="none" w:sz="0" w:space="0" w:color="auto"/>
      </w:divBdr>
    </w:div>
    <w:div w:id="643587266">
      <w:bodyDiv w:val="1"/>
      <w:marLeft w:val="0"/>
      <w:marRight w:val="0"/>
      <w:marTop w:val="0"/>
      <w:marBottom w:val="0"/>
      <w:divBdr>
        <w:top w:val="none" w:sz="0" w:space="0" w:color="auto"/>
        <w:left w:val="none" w:sz="0" w:space="0" w:color="auto"/>
        <w:bottom w:val="none" w:sz="0" w:space="0" w:color="auto"/>
        <w:right w:val="none" w:sz="0" w:space="0" w:color="auto"/>
      </w:divBdr>
    </w:div>
    <w:div w:id="692416086">
      <w:bodyDiv w:val="1"/>
      <w:marLeft w:val="0"/>
      <w:marRight w:val="0"/>
      <w:marTop w:val="0"/>
      <w:marBottom w:val="0"/>
      <w:divBdr>
        <w:top w:val="none" w:sz="0" w:space="0" w:color="auto"/>
        <w:left w:val="none" w:sz="0" w:space="0" w:color="auto"/>
        <w:bottom w:val="none" w:sz="0" w:space="0" w:color="auto"/>
        <w:right w:val="none" w:sz="0" w:space="0" w:color="auto"/>
      </w:divBdr>
    </w:div>
    <w:div w:id="709837110">
      <w:bodyDiv w:val="1"/>
      <w:marLeft w:val="0"/>
      <w:marRight w:val="0"/>
      <w:marTop w:val="0"/>
      <w:marBottom w:val="0"/>
      <w:divBdr>
        <w:top w:val="none" w:sz="0" w:space="0" w:color="auto"/>
        <w:left w:val="none" w:sz="0" w:space="0" w:color="auto"/>
        <w:bottom w:val="none" w:sz="0" w:space="0" w:color="auto"/>
        <w:right w:val="none" w:sz="0" w:space="0" w:color="auto"/>
      </w:divBdr>
    </w:div>
    <w:div w:id="763847339">
      <w:bodyDiv w:val="1"/>
      <w:marLeft w:val="0"/>
      <w:marRight w:val="0"/>
      <w:marTop w:val="0"/>
      <w:marBottom w:val="0"/>
      <w:divBdr>
        <w:top w:val="none" w:sz="0" w:space="0" w:color="auto"/>
        <w:left w:val="none" w:sz="0" w:space="0" w:color="auto"/>
        <w:bottom w:val="none" w:sz="0" w:space="0" w:color="auto"/>
        <w:right w:val="none" w:sz="0" w:space="0" w:color="auto"/>
      </w:divBdr>
    </w:div>
    <w:div w:id="856044350">
      <w:bodyDiv w:val="1"/>
      <w:marLeft w:val="0"/>
      <w:marRight w:val="0"/>
      <w:marTop w:val="0"/>
      <w:marBottom w:val="0"/>
      <w:divBdr>
        <w:top w:val="none" w:sz="0" w:space="0" w:color="auto"/>
        <w:left w:val="none" w:sz="0" w:space="0" w:color="auto"/>
        <w:bottom w:val="none" w:sz="0" w:space="0" w:color="auto"/>
        <w:right w:val="none" w:sz="0" w:space="0" w:color="auto"/>
      </w:divBdr>
    </w:div>
    <w:div w:id="857423412">
      <w:bodyDiv w:val="1"/>
      <w:marLeft w:val="0"/>
      <w:marRight w:val="0"/>
      <w:marTop w:val="0"/>
      <w:marBottom w:val="0"/>
      <w:divBdr>
        <w:top w:val="none" w:sz="0" w:space="0" w:color="auto"/>
        <w:left w:val="none" w:sz="0" w:space="0" w:color="auto"/>
        <w:bottom w:val="none" w:sz="0" w:space="0" w:color="auto"/>
        <w:right w:val="none" w:sz="0" w:space="0" w:color="auto"/>
      </w:divBdr>
    </w:div>
    <w:div w:id="867571185">
      <w:bodyDiv w:val="1"/>
      <w:marLeft w:val="0"/>
      <w:marRight w:val="0"/>
      <w:marTop w:val="0"/>
      <w:marBottom w:val="0"/>
      <w:divBdr>
        <w:top w:val="none" w:sz="0" w:space="0" w:color="auto"/>
        <w:left w:val="none" w:sz="0" w:space="0" w:color="auto"/>
        <w:bottom w:val="none" w:sz="0" w:space="0" w:color="auto"/>
        <w:right w:val="none" w:sz="0" w:space="0" w:color="auto"/>
      </w:divBdr>
    </w:div>
    <w:div w:id="899707707">
      <w:bodyDiv w:val="1"/>
      <w:marLeft w:val="0"/>
      <w:marRight w:val="0"/>
      <w:marTop w:val="0"/>
      <w:marBottom w:val="0"/>
      <w:divBdr>
        <w:top w:val="none" w:sz="0" w:space="0" w:color="auto"/>
        <w:left w:val="none" w:sz="0" w:space="0" w:color="auto"/>
        <w:bottom w:val="none" w:sz="0" w:space="0" w:color="auto"/>
        <w:right w:val="none" w:sz="0" w:space="0" w:color="auto"/>
      </w:divBdr>
    </w:div>
    <w:div w:id="972292824">
      <w:bodyDiv w:val="1"/>
      <w:marLeft w:val="0"/>
      <w:marRight w:val="0"/>
      <w:marTop w:val="0"/>
      <w:marBottom w:val="0"/>
      <w:divBdr>
        <w:top w:val="none" w:sz="0" w:space="0" w:color="auto"/>
        <w:left w:val="none" w:sz="0" w:space="0" w:color="auto"/>
        <w:bottom w:val="none" w:sz="0" w:space="0" w:color="auto"/>
        <w:right w:val="none" w:sz="0" w:space="0" w:color="auto"/>
      </w:divBdr>
    </w:div>
    <w:div w:id="972365169">
      <w:bodyDiv w:val="1"/>
      <w:marLeft w:val="0"/>
      <w:marRight w:val="0"/>
      <w:marTop w:val="0"/>
      <w:marBottom w:val="0"/>
      <w:divBdr>
        <w:top w:val="none" w:sz="0" w:space="0" w:color="auto"/>
        <w:left w:val="none" w:sz="0" w:space="0" w:color="auto"/>
        <w:bottom w:val="none" w:sz="0" w:space="0" w:color="auto"/>
        <w:right w:val="none" w:sz="0" w:space="0" w:color="auto"/>
      </w:divBdr>
    </w:div>
    <w:div w:id="981272732">
      <w:bodyDiv w:val="1"/>
      <w:marLeft w:val="0"/>
      <w:marRight w:val="0"/>
      <w:marTop w:val="0"/>
      <w:marBottom w:val="0"/>
      <w:divBdr>
        <w:top w:val="none" w:sz="0" w:space="0" w:color="auto"/>
        <w:left w:val="none" w:sz="0" w:space="0" w:color="auto"/>
        <w:bottom w:val="none" w:sz="0" w:space="0" w:color="auto"/>
        <w:right w:val="none" w:sz="0" w:space="0" w:color="auto"/>
      </w:divBdr>
    </w:div>
    <w:div w:id="1046679422">
      <w:bodyDiv w:val="1"/>
      <w:marLeft w:val="0"/>
      <w:marRight w:val="0"/>
      <w:marTop w:val="0"/>
      <w:marBottom w:val="0"/>
      <w:divBdr>
        <w:top w:val="none" w:sz="0" w:space="0" w:color="auto"/>
        <w:left w:val="none" w:sz="0" w:space="0" w:color="auto"/>
        <w:bottom w:val="none" w:sz="0" w:space="0" w:color="auto"/>
        <w:right w:val="none" w:sz="0" w:space="0" w:color="auto"/>
      </w:divBdr>
    </w:div>
    <w:div w:id="1050154024">
      <w:bodyDiv w:val="1"/>
      <w:marLeft w:val="0"/>
      <w:marRight w:val="0"/>
      <w:marTop w:val="0"/>
      <w:marBottom w:val="0"/>
      <w:divBdr>
        <w:top w:val="none" w:sz="0" w:space="0" w:color="auto"/>
        <w:left w:val="none" w:sz="0" w:space="0" w:color="auto"/>
        <w:bottom w:val="none" w:sz="0" w:space="0" w:color="auto"/>
        <w:right w:val="none" w:sz="0" w:space="0" w:color="auto"/>
      </w:divBdr>
    </w:div>
    <w:div w:id="1085146072">
      <w:bodyDiv w:val="1"/>
      <w:marLeft w:val="0"/>
      <w:marRight w:val="0"/>
      <w:marTop w:val="0"/>
      <w:marBottom w:val="0"/>
      <w:divBdr>
        <w:top w:val="none" w:sz="0" w:space="0" w:color="auto"/>
        <w:left w:val="none" w:sz="0" w:space="0" w:color="auto"/>
        <w:bottom w:val="none" w:sz="0" w:space="0" w:color="auto"/>
        <w:right w:val="none" w:sz="0" w:space="0" w:color="auto"/>
      </w:divBdr>
    </w:div>
    <w:div w:id="1098528399">
      <w:bodyDiv w:val="1"/>
      <w:marLeft w:val="0"/>
      <w:marRight w:val="0"/>
      <w:marTop w:val="0"/>
      <w:marBottom w:val="0"/>
      <w:divBdr>
        <w:top w:val="none" w:sz="0" w:space="0" w:color="auto"/>
        <w:left w:val="none" w:sz="0" w:space="0" w:color="auto"/>
        <w:bottom w:val="none" w:sz="0" w:space="0" w:color="auto"/>
        <w:right w:val="none" w:sz="0" w:space="0" w:color="auto"/>
      </w:divBdr>
    </w:div>
    <w:div w:id="1204758208">
      <w:bodyDiv w:val="1"/>
      <w:marLeft w:val="0"/>
      <w:marRight w:val="0"/>
      <w:marTop w:val="0"/>
      <w:marBottom w:val="0"/>
      <w:divBdr>
        <w:top w:val="none" w:sz="0" w:space="0" w:color="auto"/>
        <w:left w:val="none" w:sz="0" w:space="0" w:color="auto"/>
        <w:bottom w:val="none" w:sz="0" w:space="0" w:color="auto"/>
        <w:right w:val="none" w:sz="0" w:space="0" w:color="auto"/>
      </w:divBdr>
    </w:div>
    <w:div w:id="1247693326">
      <w:bodyDiv w:val="1"/>
      <w:marLeft w:val="0"/>
      <w:marRight w:val="0"/>
      <w:marTop w:val="0"/>
      <w:marBottom w:val="0"/>
      <w:divBdr>
        <w:top w:val="none" w:sz="0" w:space="0" w:color="auto"/>
        <w:left w:val="none" w:sz="0" w:space="0" w:color="auto"/>
        <w:bottom w:val="none" w:sz="0" w:space="0" w:color="auto"/>
        <w:right w:val="none" w:sz="0" w:space="0" w:color="auto"/>
      </w:divBdr>
    </w:div>
    <w:div w:id="1287389330">
      <w:bodyDiv w:val="1"/>
      <w:marLeft w:val="0"/>
      <w:marRight w:val="0"/>
      <w:marTop w:val="0"/>
      <w:marBottom w:val="0"/>
      <w:divBdr>
        <w:top w:val="none" w:sz="0" w:space="0" w:color="auto"/>
        <w:left w:val="none" w:sz="0" w:space="0" w:color="auto"/>
        <w:bottom w:val="none" w:sz="0" w:space="0" w:color="auto"/>
        <w:right w:val="none" w:sz="0" w:space="0" w:color="auto"/>
      </w:divBdr>
    </w:div>
    <w:div w:id="1336422759">
      <w:bodyDiv w:val="1"/>
      <w:marLeft w:val="0"/>
      <w:marRight w:val="0"/>
      <w:marTop w:val="0"/>
      <w:marBottom w:val="0"/>
      <w:divBdr>
        <w:top w:val="none" w:sz="0" w:space="0" w:color="auto"/>
        <w:left w:val="none" w:sz="0" w:space="0" w:color="auto"/>
        <w:bottom w:val="none" w:sz="0" w:space="0" w:color="auto"/>
        <w:right w:val="none" w:sz="0" w:space="0" w:color="auto"/>
      </w:divBdr>
    </w:div>
    <w:div w:id="1345782847">
      <w:bodyDiv w:val="1"/>
      <w:marLeft w:val="0"/>
      <w:marRight w:val="0"/>
      <w:marTop w:val="0"/>
      <w:marBottom w:val="0"/>
      <w:divBdr>
        <w:top w:val="none" w:sz="0" w:space="0" w:color="auto"/>
        <w:left w:val="none" w:sz="0" w:space="0" w:color="auto"/>
        <w:bottom w:val="none" w:sz="0" w:space="0" w:color="auto"/>
        <w:right w:val="none" w:sz="0" w:space="0" w:color="auto"/>
      </w:divBdr>
    </w:div>
    <w:div w:id="1349335354">
      <w:bodyDiv w:val="1"/>
      <w:marLeft w:val="0"/>
      <w:marRight w:val="0"/>
      <w:marTop w:val="0"/>
      <w:marBottom w:val="0"/>
      <w:divBdr>
        <w:top w:val="none" w:sz="0" w:space="0" w:color="auto"/>
        <w:left w:val="none" w:sz="0" w:space="0" w:color="auto"/>
        <w:bottom w:val="none" w:sz="0" w:space="0" w:color="auto"/>
        <w:right w:val="none" w:sz="0" w:space="0" w:color="auto"/>
      </w:divBdr>
    </w:div>
    <w:div w:id="1362898599">
      <w:bodyDiv w:val="1"/>
      <w:marLeft w:val="0"/>
      <w:marRight w:val="0"/>
      <w:marTop w:val="0"/>
      <w:marBottom w:val="0"/>
      <w:divBdr>
        <w:top w:val="none" w:sz="0" w:space="0" w:color="auto"/>
        <w:left w:val="none" w:sz="0" w:space="0" w:color="auto"/>
        <w:bottom w:val="none" w:sz="0" w:space="0" w:color="auto"/>
        <w:right w:val="none" w:sz="0" w:space="0" w:color="auto"/>
      </w:divBdr>
    </w:div>
    <w:div w:id="1374111519">
      <w:bodyDiv w:val="1"/>
      <w:marLeft w:val="0"/>
      <w:marRight w:val="0"/>
      <w:marTop w:val="0"/>
      <w:marBottom w:val="0"/>
      <w:divBdr>
        <w:top w:val="none" w:sz="0" w:space="0" w:color="auto"/>
        <w:left w:val="none" w:sz="0" w:space="0" w:color="auto"/>
        <w:bottom w:val="none" w:sz="0" w:space="0" w:color="auto"/>
        <w:right w:val="none" w:sz="0" w:space="0" w:color="auto"/>
      </w:divBdr>
    </w:div>
    <w:div w:id="1389913367">
      <w:bodyDiv w:val="1"/>
      <w:marLeft w:val="0"/>
      <w:marRight w:val="0"/>
      <w:marTop w:val="0"/>
      <w:marBottom w:val="0"/>
      <w:divBdr>
        <w:top w:val="none" w:sz="0" w:space="0" w:color="auto"/>
        <w:left w:val="none" w:sz="0" w:space="0" w:color="auto"/>
        <w:bottom w:val="none" w:sz="0" w:space="0" w:color="auto"/>
        <w:right w:val="none" w:sz="0" w:space="0" w:color="auto"/>
      </w:divBdr>
    </w:div>
    <w:div w:id="1395347950">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411468627">
      <w:bodyDiv w:val="1"/>
      <w:marLeft w:val="0"/>
      <w:marRight w:val="0"/>
      <w:marTop w:val="0"/>
      <w:marBottom w:val="0"/>
      <w:divBdr>
        <w:top w:val="none" w:sz="0" w:space="0" w:color="auto"/>
        <w:left w:val="none" w:sz="0" w:space="0" w:color="auto"/>
        <w:bottom w:val="none" w:sz="0" w:space="0" w:color="auto"/>
        <w:right w:val="none" w:sz="0" w:space="0" w:color="auto"/>
      </w:divBdr>
    </w:div>
    <w:div w:id="1421029357">
      <w:bodyDiv w:val="1"/>
      <w:marLeft w:val="0"/>
      <w:marRight w:val="0"/>
      <w:marTop w:val="0"/>
      <w:marBottom w:val="0"/>
      <w:divBdr>
        <w:top w:val="none" w:sz="0" w:space="0" w:color="auto"/>
        <w:left w:val="none" w:sz="0" w:space="0" w:color="auto"/>
        <w:bottom w:val="none" w:sz="0" w:space="0" w:color="auto"/>
        <w:right w:val="none" w:sz="0" w:space="0" w:color="auto"/>
      </w:divBdr>
    </w:div>
    <w:div w:id="1467625878">
      <w:bodyDiv w:val="1"/>
      <w:marLeft w:val="0"/>
      <w:marRight w:val="0"/>
      <w:marTop w:val="0"/>
      <w:marBottom w:val="0"/>
      <w:divBdr>
        <w:top w:val="none" w:sz="0" w:space="0" w:color="auto"/>
        <w:left w:val="none" w:sz="0" w:space="0" w:color="auto"/>
        <w:bottom w:val="none" w:sz="0" w:space="0" w:color="auto"/>
        <w:right w:val="none" w:sz="0" w:space="0" w:color="auto"/>
      </w:divBdr>
    </w:div>
    <w:div w:id="1486779521">
      <w:bodyDiv w:val="1"/>
      <w:marLeft w:val="0"/>
      <w:marRight w:val="0"/>
      <w:marTop w:val="0"/>
      <w:marBottom w:val="0"/>
      <w:divBdr>
        <w:top w:val="none" w:sz="0" w:space="0" w:color="auto"/>
        <w:left w:val="none" w:sz="0" w:space="0" w:color="auto"/>
        <w:bottom w:val="none" w:sz="0" w:space="0" w:color="auto"/>
        <w:right w:val="none" w:sz="0" w:space="0" w:color="auto"/>
      </w:divBdr>
    </w:div>
    <w:div w:id="1529221118">
      <w:bodyDiv w:val="1"/>
      <w:marLeft w:val="0"/>
      <w:marRight w:val="0"/>
      <w:marTop w:val="0"/>
      <w:marBottom w:val="0"/>
      <w:divBdr>
        <w:top w:val="none" w:sz="0" w:space="0" w:color="auto"/>
        <w:left w:val="none" w:sz="0" w:space="0" w:color="auto"/>
        <w:bottom w:val="none" w:sz="0" w:space="0" w:color="auto"/>
        <w:right w:val="none" w:sz="0" w:space="0" w:color="auto"/>
      </w:divBdr>
    </w:div>
    <w:div w:id="1554854570">
      <w:bodyDiv w:val="1"/>
      <w:marLeft w:val="0"/>
      <w:marRight w:val="0"/>
      <w:marTop w:val="0"/>
      <w:marBottom w:val="0"/>
      <w:divBdr>
        <w:top w:val="none" w:sz="0" w:space="0" w:color="auto"/>
        <w:left w:val="none" w:sz="0" w:space="0" w:color="auto"/>
        <w:bottom w:val="none" w:sz="0" w:space="0" w:color="auto"/>
        <w:right w:val="none" w:sz="0" w:space="0" w:color="auto"/>
      </w:divBdr>
    </w:div>
    <w:div w:id="1590969883">
      <w:bodyDiv w:val="1"/>
      <w:marLeft w:val="0"/>
      <w:marRight w:val="0"/>
      <w:marTop w:val="0"/>
      <w:marBottom w:val="0"/>
      <w:divBdr>
        <w:top w:val="none" w:sz="0" w:space="0" w:color="auto"/>
        <w:left w:val="none" w:sz="0" w:space="0" w:color="auto"/>
        <w:bottom w:val="none" w:sz="0" w:space="0" w:color="auto"/>
        <w:right w:val="none" w:sz="0" w:space="0" w:color="auto"/>
      </w:divBdr>
    </w:div>
    <w:div w:id="1625039118">
      <w:bodyDiv w:val="1"/>
      <w:marLeft w:val="0"/>
      <w:marRight w:val="0"/>
      <w:marTop w:val="0"/>
      <w:marBottom w:val="0"/>
      <w:divBdr>
        <w:top w:val="none" w:sz="0" w:space="0" w:color="auto"/>
        <w:left w:val="none" w:sz="0" w:space="0" w:color="auto"/>
        <w:bottom w:val="none" w:sz="0" w:space="0" w:color="auto"/>
        <w:right w:val="none" w:sz="0" w:space="0" w:color="auto"/>
      </w:divBdr>
    </w:div>
    <w:div w:id="1652371171">
      <w:bodyDiv w:val="1"/>
      <w:marLeft w:val="0"/>
      <w:marRight w:val="0"/>
      <w:marTop w:val="0"/>
      <w:marBottom w:val="0"/>
      <w:divBdr>
        <w:top w:val="none" w:sz="0" w:space="0" w:color="auto"/>
        <w:left w:val="none" w:sz="0" w:space="0" w:color="auto"/>
        <w:bottom w:val="none" w:sz="0" w:space="0" w:color="auto"/>
        <w:right w:val="none" w:sz="0" w:space="0" w:color="auto"/>
      </w:divBdr>
    </w:div>
    <w:div w:id="1665544813">
      <w:bodyDiv w:val="1"/>
      <w:marLeft w:val="0"/>
      <w:marRight w:val="0"/>
      <w:marTop w:val="0"/>
      <w:marBottom w:val="0"/>
      <w:divBdr>
        <w:top w:val="none" w:sz="0" w:space="0" w:color="auto"/>
        <w:left w:val="none" w:sz="0" w:space="0" w:color="auto"/>
        <w:bottom w:val="none" w:sz="0" w:space="0" w:color="auto"/>
        <w:right w:val="none" w:sz="0" w:space="0" w:color="auto"/>
      </w:divBdr>
    </w:div>
    <w:div w:id="1671322989">
      <w:bodyDiv w:val="1"/>
      <w:marLeft w:val="0"/>
      <w:marRight w:val="0"/>
      <w:marTop w:val="0"/>
      <w:marBottom w:val="0"/>
      <w:divBdr>
        <w:top w:val="none" w:sz="0" w:space="0" w:color="auto"/>
        <w:left w:val="none" w:sz="0" w:space="0" w:color="auto"/>
        <w:bottom w:val="none" w:sz="0" w:space="0" w:color="auto"/>
        <w:right w:val="none" w:sz="0" w:space="0" w:color="auto"/>
      </w:divBdr>
    </w:div>
    <w:div w:id="1673794045">
      <w:bodyDiv w:val="1"/>
      <w:marLeft w:val="0"/>
      <w:marRight w:val="0"/>
      <w:marTop w:val="0"/>
      <w:marBottom w:val="0"/>
      <w:divBdr>
        <w:top w:val="none" w:sz="0" w:space="0" w:color="auto"/>
        <w:left w:val="none" w:sz="0" w:space="0" w:color="auto"/>
        <w:bottom w:val="none" w:sz="0" w:space="0" w:color="auto"/>
        <w:right w:val="none" w:sz="0" w:space="0" w:color="auto"/>
      </w:divBdr>
    </w:div>
    <w:div w:id="1759256133">
      <w:bodyDiv w:val="1"/>
      <w:marLeft w:val="0"/>
      <w:marRight w:val="0"/>
      <w:marTop w:val="0"/>
      <w:marBottom w:val="0"/>
      <w:divBdr>
        <w:top w:val="none" w:sz="0" w:space="0" w:color="auto"/>
        <w:left w:val="none" w:sz="0" w:space="0" w:color="auto"/>
        <w:bottom w:val="none" w:sz="0" w:space="0" w:color="auto"/>
        <w:right w:val="none" w:sz="0" w:space="0" w:color="auto"/>
      </w:divBdr>
    </w:div>
    <w:div w:id="1795635263">
      <w:bodyDiv w:val="1"/>
      <w:marLeft w:val="0"/>
      <w:marRight w:val="0"/>
      <w:marTop w:val="0"/>
      <w:marBottom w:val="0"/>
      <w:divBdr>
        <w:top w:val="none" w:sz="0" w:space="0" w:color="auto"/>
        <w:left w:val="none" w:sz="0" w:space="0" w:color="auto"/>
        <w:bottom w:val="none" w:sz="0" w:space="0" w:color="auto"/>
        <w:right w:val="none" w:sz="0" w:space="0" w:color="auto"/>
      </w:divBdr>
    </w:div>
    <w:div w:id="1809278950">
      <w:bodyDiv w:val="1"/>
      <w:marLeft w:val="0"/>
      <w:marRight w:val="0"/>
      <w:marTop w:val="0"/>
      <w:marBottom w:val="0"/>
      <w:divBdr>
        <w:top w:val="none" w:sz="0" w:space="0" w:color="auto"/>
        <w:left w:val="none" w:sz="0" w:space="0" w:color="auto"/>
        <w:bottom w:val="none" w:sz="0" w:space="0" w:color="auto"/>
        <w:right w:val="none" w:sz="0" w:space="0" w:color="auto"/>
      </w:divBdr>
    </w:div>
    <w:div w:id="1809467295">
      <w:bodyDiv w:val="1"/>
      <w:marLeft w:val="0"/>
      <w:marRight w:val="0"/>
      <w:marTop w:val="0"/>
      <w:marBottom w:val="0"/>
      <w:divBdr>
        <w:top w:val="none" w:sz="0" w:space="0" w:color="auto"/>
        <w:left w:val="none" w:sz="0" w:space="0" w:color="auto"/>
        <w:bottom w:val="none" w:sz="0" w:space="0" w:color="auto"/>
        <w:right w:val="none" w:sz="0" w:space="0" w:color="auto"/>
      </w:divBdr>
    </w:div>
    <w:div w:id="1818767442">
      <w:bodyDiv w:val="1"/>
      <w:marLeft w:val="0"/>
      <w:marRight w:val="0"/>
      <w:marTop w:val="0"/>
      <w:marBottom w:val="0"/>
      <w:divBdr>
        <w:top w:val="none" w:sz="0" w:space="0" w:color="auto"/>
        <w:left w:val="none" w:sz="0" w:space="0" w:color="auto"/>
        <w:bottom w:val="none" w:sz="0" w:space="0" w:color="auto"/>
        <w:right w:val="none" w:sz="0" w:space="0" w:color="auto"/>
      </w:divBdr>
    </w:div>
    <w:div w:id="1826434099">
      <w:bodyDiv w:val="1"/>
      <w:marLeft w:val="0"/>
      <w:marRight w:val="0"/>
      <w:marTop w:val="0"/>
      <w:marBottom w:val="0"/>
      <w:divBdr>
        <w:top w:val="none" w:sz="0" w:space="0" w:color="auto"/>
        <w:left w:val="none" w:sz="0" w:space="0" w:color="auto"/>
        <w:bottom w:val="none" w:sz="0" w:space="0" w:color="auto"/>
        <w:right w:val="none" w:sz="0" w:space="0" w:color="auto"/>
      </w:divBdr>
    </w:div>
    <w:div w:id="1834032198">
      <w:bodyDiv w:val="1"/>
      <w:marLeft w:val="0"/>
      <w:marRight w:val="0"/>
      <w:marTop w:val="0"/>
      <w:marBottom w:val="0"/>
      <w:divBdr>
        <w:top w:val="none" w:sz="0" w:space="0" w:color="auto"/>
        <w:left w:val="none" w:sz="0" w:space="0" w:color="auto"/>
        <w:bottom w:val="none" w:sz="0" w:space="0" w:color="auto"/>
        <w:right w:val="none" w:sz="0" w:space="0" w:color="auto"/>
      </w:divBdr>
    </w:div>
    <w:div w:id="1892840274">
      <w:bodyDiv w:val="1"/>
      <w:marLeft w:val="0"/>
      <w:marRight w:val="0"/>
      <w:marTop w:val="0"/>
      <w:marBottom w:val="0"/>
      <w:divBdr>
        <w:top w:val="none" w:sz="0" w:space="0" w:color="auto"/>
        <w:left w:val="none" w:sz="0" w:space="0" w:color="auto"/>
        <w:bottom w:val="none" w:sz="0" w:space="0" w:color="auto"/>
        <w:right w:val="none" w:sz="0" w:space="0" w:color="auto"/>
      </w:divBdr>
    </w:div>
    <w:div w:id="1970083193">
      <w:bodyDiv w:val="1"/>
      <w:marLeft w:val="0"/>
      <w:marRight w:val="0"/>
      <w:marTop w:val="0"/>
      <w:marBottom w:val="0"/>
      <w:divBdr>
        <w:top w:val="none" w:sz="0" w:space="0" w:color="auto"/>
        <w:left w:val="none" w:sz="0" w:space="0" w:color="auto"/>
        <w:bottom w:val="none" w:sz="0" w:space="0" w:color="auto"/>
        <w:right w:val="none" w:sz="0" w:space="0" w:color="auto"/>
      </w:divBdr>
    </w:div>
    <w:div w:id="2007316319">
      <w:bodyDiv w:val="1"/>
      <w:marLeft w:val="0"/>
      <w:marRight w:val="0"/>
      <w:marTop w:val="0"/>
      <w:marBottom w:val="0"/>
      <w:divBdr>
        <w:top w:val="none" w:sz="0" w:space="0" w:color="auto"/>
        <w:left w:val="none" w:sz="0" w:space="0" w:color="auto"/>
        <w:bottom w:val="none" w:sz="0" w:space="0" w:color="auto"/>
        <w:right w:val="none" w:sz="0" w:space="0" w:color="auto"/>
      </w:divBdr>
    </w:div>
    <w:div w:id="2064985310">
      <w:bodyDiv w:val="1"/>
      <w:marLeft w:val="0"/>
      <w:marRight w:val="0"/>
      <w:marTop w:val="0"/>
      <w:marBottom w:val="0"/>
      <w:divBdr>
        <w:top w:val="none" w:sz="0" w:space="0" w:color="auto"/>
        <w:left w:val="none" w:sz="0" w:space="0" w:color="auto"/>
        <w:bottom w:val="none" w:sz="0" w:space="0" w:color="auto"/>
        <w:right w:val="none" w:sz="0" w:space="0" w:color="auto"/>
      </w:divBdr>
    </w:div>
    <w:div w:id="2069961884">
      <w:bodyDiv w:val="1"/>
      <w:marLeft w:val="0"/>
      <w:marRight w:val="0"/>
      <w:marTop w:val="0"/>
      <w:marBottom w:val="0"/>
      <w:divBdr>
        <w:top w:val="none" w:sz="0" w:space="0" w:color="auto"/>
        <w:left w:val="none" w:sz="0" w:space="0" w:color="auto"/>
        <w:bottom w:val="none" w:sz="0" w:space="0" w:color="auto"/>
        <w:right w:val="none" w:sz="0" w:space="0" w:color="auto"/>
      </w:divBdr>
    </w:div>
    <w:div w:id="2076781742">
      <w:bodyDiv w:val="1"/>
      <w:marLeft w:val="0"/>
      <w:marRight w:val="0"/>
      <w:marTop w:val="0"/>
      <w:marBottom w:val="0"/>
      <w:divBdr>
        <w:top w:val="none" w:sz="0" w:space="0" w:color="auto"/>
        <w:left w:val="none" w:sz="0" w:space="0" w:color="auto"/>
        <w:bottom w:val="none" w:sz="0" w:space="0" w:color="auto"/>
        <w:right w:val="none" w:sz="0" w:space="0" w:color="auto"/>
      </w:divBdr>
    </w:div>
    <w:div w:id="2096244455">
      <w:bodyDiv w:val="1"/>
      <w:marLeft w:val="0"/>
      <w:marRight w:val="0"/>
      <w:marTop w:val="0"/>
      <w:marBottom w:val="0"/>
      <w:divBdr>
        <w:top w:val="none" w:sz="0" w:space="0" w:color="auto"/>
        <w:left w:val="none" w:sz="0" w:space="0" w:color="auto"/>
        <w:bottom w:val="none" w:sz="0" w:space="0" w:color="auto"/>
        <w:right w:val="none" w:sz="0" w:space="0" w:color="auto"/>
      </w:divBdr>
    </w:div>
    <w:div w:id="20964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cont.cz/portfolio/kyberneticka-bezpecnost/ochrana-a-rizeni-uzivatelskych-ident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sdn.microsoft.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21</Pages>
  <Words>7976</Words>
  <Characters>47065</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Adminio s.r.o.</dc:creator>
  <cp:lastModifiedBy>Adminio s.r.o.</cp:lastModifiedBy>
  <cp:revision>5</cp:revision>
  <dcterms:created xsi:type="dcterms:W3CDTF">2025-03-23T21:09:00Z</dcterms:created>
  <dcterms:modified xsi:type="dcterms:W3CDTF">2025-03-23T21:41:00Z</dcterms:modified>
</cp:coreProperties>
</file>