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B2B1" w14:textId="4578E19C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>Zadávací dokumentace:</w:t>
      </w:r>
    </w:p>
    <w:p w14:paraId="1A9FFADB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4E15A4F0" w14:textId="77777777" w:rsidTr="006D79A5">
        <w:tc>
          <w:tcPr>
            <w:tcW w:w="1486" w:type="pct"/>
            <w:shd w:val="pct10" w:color="auto" w:fill="auto"/>
            <w:vAlign w:val="center"/>
          </w:tcPr>
          <w:p w14:paraId="06677323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14" w:type="pct"/>
          </w:tcPr>
          <w:p w14:paraId="49B8B572" w14:textId="61AA5299" w:rsidR="00C0169B" w:rsidRPr="00627C0D" w:rsidRDefault="000C0D31" w:rsidP="000C0D31">
            <w:pPr>
              <w:ind w:left="4253" w:hanging="4253"/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Odstranění objektu č.p. 205/3 v areálu bývalé pily </w:t>
            </w:r>
          </w:p>
        </w:tc>
      </w:tr>
      <w:tr w:rsidR="00C0169B" w:rsidRPr="007B4B68" w14:paraId="2DDC2641" w14:textId="77777777" w:rsidTr="006D79A5">
        <w:tc>
          <w:tcPr>
            <w:tcW w:w="1486" w:type="pct"/>
            <w:shd w:val="pct10" w:color="auto" w:fill="auto"/>
            <w:vAlign w:val="center"/>
          </w:tcPr>
          <w:p w14:paraId="2F6572D1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14:paraId="61F2776B" w14:textId="19AB63DC" w:rsidR="00C0169B" w:rsidRPr="007B4B68" w:rsidRDefault="000C0D3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Zjednodušené podlimitní řízení </w:t>
            </w:r>
          </w:p>
        </w:tc>
      </w:tr>
    </w:tbl>
    <w:p w14:paraId="71B4520B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7B4B68" w:rsidRPr="007B4B68" w14:paraId="365F923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DBC664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vAlign w:val="center"/>
          </w:tcPr>
          <w:p w14:paraId="2FADB759" w14:textId="54741CC8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Mariánské Lázně</w:t>
            </w:r>
          </w:p>
        </w:tc>
      </w:tr>
      <w:tr w:rsidR="007B4B68" w:rsidRPr="007B4B68" w14:paraId="7EC59FE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0B7953BA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vAlign w:val="center"/>
          </w:tcPr>
          <w:p w14:paraId="488DB0D4" w14:textId="7DDAD800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Ruská 155, 353 01 Mariánské Lázně</w:t>
            </w:r>
          </w:p>
        </w:tc>
      </w:tr>
      <w:tr w:rsidR="007B4B68" w:rsidRPr="007B4B68" w14:paraId="1A224BED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7E959BBE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vAlign w:val="center"/>
          </w:tcPr>
          <w:p w14:paraId="4C84B50B" w14:textId="3F36D1EA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00254061</w:t>
            </w:r>
          </w:p>
        </w:tc>
      </w:tr>
      <w:tr w:rsidR="007B4B68" w:rsidRPr="007B4B68" w14:paraId="7C000DC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30C79046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vAlign w:val="center"/>
          </w:tcPr>
          <w:p w14:paraId="72F6AAB6" w14:textId="5D8ABFA5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</w:t>
            </w:r>
            <w:r w:rsidR="002B1AE7">
              <w:rPr>
                <w:rFonts w:ascii="Palatino Linotype" w:hAnsi="Palatino Linotype"/>
                <w:bCs/>
                <w:sz w:val="20"/>
                <w:szCs w:val="20"/>
              </w:rPr>
              <w:t>254061</w:t>
            </w:r>
          </w:p>
        </w:tc>
      </w:tr>
      <w:tr w:rsidR="007B4B68" w:rsidRPr="007B4B68" w14:paraId="6D0933D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91DDA06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vAlign w:val="center"/>
          </w:tcPr>
          <w:p w14:paraId="7941D159" w14:textId="1CDA480E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Martin Hurajčík, starosta</w:t>
            </w:r>
          </w:p>
        </w:tc>
      </w:tr>
    </w:tbl>
    <w:p w14:paraId="1517EBA0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754BCE8C" w14:textId="77777777" w:rsidTr="006D79A5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1B7051B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36464D79" w14:textId="77777777" w:rsidTr="006D79A5">
        <w:tc>
          <w:tcPr>
            <w:tcW w:w="1486" w:type="pct"/>
            <w:shd w:val="clear" w:color="auto" w:fill="F2F2F2" w:themeFill="background1" w:themeFillShade="F2"/>
            <w:vAlign w:val="center"/>
          </w:tcPr>
          <w:p w14:paraId="783FC6B8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14:paraId="41B77668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9A5574D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4216DEB1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026A0DF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CA5C4C3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712F7C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4DB82665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BC850A6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6E7A3F09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14:paraId="62D1201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FFC83A2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ECA985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14:paraId="5D42351D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2552BF7C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288C585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40E787B" w14:textId="77777777" w:rsidR="00627C0D" w:rsidRPr="00CF178F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3A30AF38" w14:textId="77777777" w:rsidR="00C0169B" w:rsidRDefault="00C0169B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78BEDB72" w14:textId="77777777" w:rsidR="00881B18" w:rsidRPr="007B4B68" w:rsidRDefault="00881B18" w:rsidP="00881B1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4CF59807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04D628E0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6EAD52B" w14:textId="77777777" w:rsidR="00881B18" w:rsidRPr="00A61F69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A00AA84" w14:textId="77777777" w:rsidR="00A61F69" w:rsidRPr="00A61F69" w:rsidRDefault="00A61F69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46E71709" wp14:editId="2A6B7CB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p w14:paraId="269A3FE7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4946" w:type="pct"/>
        <w:tblLayout w:type="fixed"/>
        <w:tblLook w:val="04A0" w:firstRow="1" w:lastRow="0" w:firstColumn="1" w:lastColumn="0" w:noHBand="0" w:noVBand="1"/>
      </w:tblPr>
      <w:tblGrid>
        <w:gridCol w:w="4957"/>
        <w:gridCol w:w="284"/>
        <w:gridCol w:w="2137"/>
        <w:gridCol w:w="495"/>
        <w:gridCol w:w="1651"/>
      </w:tblGrid>
      <w:tr w:rsidR="005F0FDE" w:rsidRPr="00A61F69" w14:paraId="366EA4A2" w14:textId="77777777" w:rsidTr="006D79A5">
        <w:tc>
          <w:tcPr>
            <w:tcW w:w="5000" w:type="pct"/>
            <w:gridSpan w:val="5"/>
            <w:shd w:val="solid" w:color="auto" w:fill="auto"/>
            <w:vAlign w:val="center"/>
          </w:tcPr>
          <w:p w14:paraId="0692525E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A17D5EF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4DAEB570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42737AAE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</w:tcPr>
          <w:p w14:paraId="63363BC0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60" w:type="pct"/>
            <w:shd w:val="pct10" w:color="auto" w:fill="auto"/>
          </w:tcPr>
          <w:p w14:paraId="329F2D16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867" w:type="pct"/>
          </w:tcPr>
          <w:p w14:paraId="1F9173E5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6589B9DE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76FF13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398" w:type="pct"/>
            <w:gridSpan w:val="4"/>
          </w:tcPr>
          <w:p w14:paraId="43246028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62B5197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AC639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398" w:type="pct"/>
            <w:gridSpan w:val="4"/>
          </w:tcPr>
          <w:p w14:paraId="4375B847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A598CD1" w14:textId="77777777" w:rsidTr="006D79A5">
        <w:trPr>
          <w:trHeight w:val="568"/>
        </w:trPr>
        <w:tc>
          <w:tcPr>
            <w:tcW w:w="2602" w:type="pct"/>
            <w:shd w:val="clear" w:color="auto" w:fill="F2F2F2" w:themeFill="background1" w:themeFillShade="F2"/>
          </w:tcPr>
          <w:p w14:paraId="16E5C08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398" w:type="pct"/>
            <w:gridSpan w:val="4"/>
          </w:tcPr>
          <w:p w14:paraId="07170CFA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787BF807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1"/>
      <w:footerReference w:type="default" r:id="rId12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D56C" w14:textId="77777777" w:rsidR="00E10E2D" w:rsidRDefault="00E10E2D" w:rsidP="00193245">
      <w:r>
        <w:separator/>
      </w:r>
    </w:p>
  </w:endnote>
  <w:endnote w:type="continuationSeparator" w:id="0">
    <w:p w14:paraId="49CF2FBC" w14:textId="77777777" w:rsidR="00E10E2D" w:rsidRDefault="00E10E2D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AF4A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D63A" w14:textId="77777777" w:rsidR="00E10E2D" w:rsidRDefault="00E10E2D" w:rsidP="00193245">
      <w:r>
        <w:separator/>
      </w:r>
    </w:p>
  </w:footnote>
  <w:footnote w:type="continuationSeparator" w:id="0">
    <w:p w14:paraId="781049D1" w14:textId="77777777" w:rsidR="00E10E2D" w:rsidRDefault="00E10E2D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2880" w14:textId="7DF789B6" w:rsidR="007B4B68" w:rsidRPr="007B4B68" w:rsidRDefault="007B4B68" w:rsidP="002B1AE7">
    <w:pPr>
      <w:tabs>
        <w:tab w:val="center" w:pos="4536"/>
        <w:tab w:val="right" w:pos="9072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27C9D2B8" w14:textId="77777777" w:rsidR="000C0D31" w:rsidRPr="00C5600D" w:rsidRDefault="007D50DA" w:rsidP="000C0D31">
    <w:pPr>
      <w:ind w:left="4253" w:hanging="4253"/>
      <w:jc w:val="both"/>
      <w:rPr>
        <w:sz w:val="22"/>
        <w:szCs w:val="22"/>
      </w:rPr>
    </w:pPr>
    <w:r>
      <w:rPr>
        <w:rFonts w:ascii="Century Gothic" w:hAnsi="Century Gothic"/>
        <w:b/>
        <w:bCs/>
        <w:color w:val="1F497D"/>
        <w:sz w:val="20"/>
        <w:szCs w:val="20"/>
      </w:rPr>
      <w:tab/>
    </w:r>
    <w:r>
      <w:rPr>
        <w:rFonts w:ascii="Century Gothic" w:hAnsi="Century Gothic"/>
        <w:b/>
        <w:bCs/>
        <w:color w:val="1F497D"/>
        <w:sz w:val="20"/>
        <w:szCs w:val="20"/>
      </w:rPr>
      <w:tab/>
    </w:r>
    <w:r w:rsidR="000C0D31">
      <w:rPr>
        <w:b/>
        <w:sz w:val="22"/>
        <w:szCs w:val="22"/>
      </w:rPr>
      <w:t xml:space="preserve">Odstranění objektu č.p. 205/3 v areálu bývalé pily </w:t>
    </w:r>
  </w:p>
  <w:p w14:paraId="4A2B368B" w14:textId="04A5AA19" w:rsidR="007B4B68" w:rsidRPr="007B4B68" w:rsidRDefault="007B4B68" w:rsidP="000C0D31">
    <w:pPr>
      <w:tabs>
        <w:tab w:val="left" w:pos="2928"/>
        <w:tab w:val="center" w:pos="4536"/>
        <w:tab w:val="right" w:pos="9072"/>
        <w:tab w:val="right" w:pos="9638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687410545">
    <w:abstractNumId w:val="0"/>
  </w:num>
  <w:num w:numId="2" w16cid:durableId="1377975187">
    <w:abstractNumId w:val="1"/>
  </w:num>
  <w:num w:numId="3" w16cid:durableId="70845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B3"/>
    <w:rsid w:val="00020876"/>
    <w:rsid w:val="000218CB"/>
    <w:rsid w:val="00026A29"/>
    <w:rsid w:val="00051E26"/>
    <w:rsid w:val="000720B7"/>
    <w:rsid w:val="000C0D31"/>
    <w:rsid w:val="000F3B38"/>
    <w:rsid w:val="00101695"/>
    <w:rsid w:val="001062A0"/>
    <w:rsid w:val="00193245"/>
    <w:rsid w:val="001C676D"/>
    <w:rsid w:val="001E2C68"/>
    <w:rsid w:val="002557E3"/>
    <w:rsid w:val="00290FD4"/>
    <w:rsid w:val="002B1AE7"/>
    <w:rsid w:val="002B70EF"/>
    <w:rsid w:val="00330CF2"/>
    <w:rsid w:val="00365F4F"/>
    <w:rsid w:val="0039181C"/>
    <w:rsid w:val="00392A9E"/>
    <w:rsid w:val="00395CD4"/>
    <w:rsid w:val="003C04F7"/>
    <w:rsid w:val="003D06D3"/>
    <w:rsid w:val="003F0C77"/>
    <w:rsid w:val="0040280C"/>
    <w:rsid w:val="00404AE0"/>
    <w:rsid w:val="004375AD"/>
    <w:rsid w:val="004475DA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6D79A5"/>
    <w:rsid w:val="007425B3"/>
    <w:rsid w:val="00765701"/>
    <w:rsid w:val="007B4B68"/>
    <w:rsid w:val="007C1442"/>
    <w:rsid w:val="007D50DA"/>
    <w:rsid w:val="007E4D1B"/>
    <w:rsid w:val="00853BDB"/>
    <w:rsid w:val="00881B18"/>
    <w:rsid w:val="00890E88"/>
    <w:rsid w:val="008B4E34"/>
    <w:rsid w:val="00910E88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13423"/>
    <w:rsid w:val="00B52F52"/>
    <w:rsid w:val="00B70A15"/>
    <w:rsid w:val="00BA167D"/>
    <w:rsid w:val="00BB5E5D"/>
    <w:rsid w:val="00C0169B"/>
    <w:rsid w:val="00C31308"/>
    <w:rsid w:val="00C31F4A"/>
    <w:rsid w:val="00C51E08"/>
    <w:rsid w:val="00C937EE"/>
    <w:rsid w:val="00CE4914"/>
    <w:rsid w:val="00D067A0"/>
    <w:rsid w:val="00D144D0"/>
    <w:rsid w:val="00D55A51"/>
    <w:rsid w:val="00D92DBF"/>
    <w:rsid w:val="00DE0EF4"/>
    <w:rsid w:val="00E0558A"/>
    <w:rsid w:val="00E10E2D"/>
    <w:rsid w:val="00E25A3A"/>
    <w:rsid w:val="00E31AE7"/>
    <w:rsid w:val="00E550A5"/>
    <w:rsid w:val="00E81513"/>
    <w:rsid w:val="00EE66D2"/>
    <w:rsid w:val="00F05BC4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BD42A95"/>
  <w15:docId w15:val="{B4A63800-516A-4A80-8F05-9A96D23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Löfflerová Marta</cp:lastModifiedBy>
  <cp:revision>2</cp:revision>
  <dcterms:created xsi:type="dcterms:W3CDTF">2026-02-04T07:43:00Z</dcterms:created>
  <dcterms:modified xsi:type="dcterms:W3CDTF">2026-02-04T07:43:00Z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