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FADB" w14:textId="77777777" w:rsidR="00C0169B" w:rsidRPr="007B4B68" w:rsidRDefault="007B4B68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 w:rsidRPr="007B4B68">
        <w:rPr>
          <w:rFonts w:ascii="Palatino Linotype" w:eastAsiaTheme="minorEastAsia" w:hAnsi="Palatino Linotype" w:cs="Arial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4E15A4F0" w14:textId="77777777" w:rsidTr="006D79A5">
        <w:tc>
          <w:tcPr>
            <w:tcW w:w="1486" w:type="pct"/>
            <w:shd w:val="pct10" w:color="auto" w:fill="auto"/>
            <w:vAlign w:val="center"/>
          </w:tcPr>
          <w:p w14:paraId="06677323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14" w:type="pct"/>
          </w:tcPr>
          <w:p w14:paraId="06F48147" w14:textId="77777777" w:rsidR="00237B05" w:rsidRPr="00B86212" w:rsidRDefault="00237B05" w:rsidP="00237B05">
            <w:pPr>
              <w:ind w:firstLine="708"/>
              <w:jc w:val="center"/>
              <w:rPr>
                <w:sz w:val="28"/>
                <w:szCs w:val="28"/>
              </w:rPr>
            </w:pPr>
            <w:r w:rsidRPr="00B86212">
              <w:rPr>
                <w:b/>
                <w:bCs/>
                <w:sz w:val="28"/>
                <w:szCs w:val="28"/>
              </w:rPr>
              <w:t>Technické zhodnocení atletického areálu Viktoria – stavební úpravy šaten</w:t>
            </w:r>
          </w:p>
          <w:p w14:paraId="49B8B572" w14:textId="65E46B47" w:rsidR="00C0169B" w:rsidRPr="00627C0D" w:rsidRDefault="00C0169B" w:rsidP="000C0D31">
            <w:pPr>
              <w:ind w:left="4253" w:hanging="4253"/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</w:p>
        </w:tc>
      </w:tr>
      <w:tr w:rsidR="00C0169B" w:rsidRPr="007B4B68" w14:paraId="2DDC2641" w14:textId="77777777" w:rsidTr="006D79A5">
        <w:tc>
          <w:tcPr>
            <w:tcW w:w="1486" w:type="pct"/>
            <w:shd w:val="pct10" w:color="auto" w:fill="auto"/>
            <w:vAlign w:val="center"/>
          </w:tcPr>
          <w:p w14:paraId="2F6572D1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14:paraId="61F2776B" w14:textId="2F9543AF" w:rsidR="00C0169B" w:rsidRPr="007B4B68" w:rsidRDefault="00237B05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VZMR</w:t>
            </w:r>
            <w:r w:rsidR="000C0D31">
              <w:rPr>
                <w:rFonts w:ascii="Palatino Linotype" w:eastAsiaTheme="minorEastAsia" w:hAnsi="Palatino Linotype" w:cs="Arial"/>
                <w:sz w:val="20"/>
                <w:szCs w:val="20"/>
              </w:rPr>
              <w:t xml:space="preserve"> </w:t>
            </w:r>
          </w:p>
        </w:tc>
      </w:tr>
    </w:tbl>
    <w:p w14:paraId="71B4520B" w14:textId="77777777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12"/>
      </w:tblGrid>
      <w:tr w:rsidR="007B4B68" w:rsidRPr="007B4B68" w14:paraId="365F923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DBC664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vAlign w:val="center"/>
          </w:tcPr>
          <w:p w14:paraId="2FADB759" w14:textId="54741CC8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Město Mariánské Lázně</w:t>
            </w:r>
          </w:p>
        </w:tc>
      </w:tr>
      <w:tr w:rsidR="007B4B68" w:rsidRPr="007B4B68" w14:paraId="7EC59FE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0B7953BA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vAlign w:val="center"/>
          </w:tcPr>
          <w:p w14:paraId="488DB0D4" w14:textId="7DDAD800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Ruská 155, 353 01 Mariánské Lázně</w:t>
            </w:r>
          </w:p>
        </w:tc>
      </w:tr>
      <w:tr w:rsidR="007B4B68" w:rsidRPr="007B4B68" w14:paraId="1A224BED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7E959BBE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vAlign w:val="center"/>
          </w:tcPr>
          <w:p w14:paraId="4C84B50B" w14:textId="3F36D1EA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00254061</w:t>
            </w:r>
          </w:p>
        </w:tc>
      </w:tr>
      <w:tr w:rsidR="007B4B68" w:rsidRPr="007B4B68" w14:paraId="7C000DC9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30C79046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vAlign w:val="center"/>
          </w:tcPr>
          <w:p w14:paraId="72F6AAB6" w14:textId="5D8ABFA5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</w:t>
            </w:r>
            <w:r w:rsidR="002B1AE7">
              <w:rPr>
                <w:rFonts w:ascii="Palatino Linotype" w:hAnsi="Palatino Linotype"/>
                <w:bCs/>
                <w:sz w:val="20"/>
                <w:szCs w:val="20"/>
              </w:rPr>
              <w:t>254061</w:t>
            </w:r>
          </w:p>
        </w:tc>
      </w:tr>
      <w:tr w:rsidR="007B4B68" w:rsidRPr="007B4B68" w14:paraId="6D0933DF" w14:textId="77777777" w:rsidTr="006D79A5">
        <w:trPr>
          <w:trHeight w:val="284"/>
        </w:trPr>
        <w:tc>
          <w:tcPr>
            <w:tcW w:w="2835" w:type="dxa"/>
            <w:shd w:val="pct10" w:color="auto" w:fill="auto"/>
          </w:tcPr>
          <w:p w14:paraId="291DDA06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vAlign w:val="center"/>
          </w:tcPr>
          <w:p w14:paraId="7941D159" w14:textId="1CDA480E" w:rsidR="007B4B68" w:rsidRPr="007B4B68" w:rsidRDefault="002B1AE7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Martin Hurajčík, starosta</w:t>
            </w:r>
          </w:p>
        </w:tc>
      </w:tr>
    </w:tbl>
    <w:p w14:paraId="1517EBA0" w14:textId="77777777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4946" w:type="pct"/>
        <w:tblLook w:val="04A0" w:firstRow="1" w:lastRow="0" w:firstColumn="1" w:lastColumn="0" w:noHBand="0" w:noVBand="1"/>
      </w:tblPr>
      <w:tblGrid>
        <w:gridCol w:w="2831"/>
        <w:gridCol w:w="6693"/>
      </w:tblGrid>
      <w:tr w:rsidR="00C0169B" w:rsidRPr="00627C0D" w14:paraId="754BCE8C" w14:textId="77777777" w:rsidTr="006D79A5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1B7051B" w14:textId="77777777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36464D79" w14:textId="77777777" w:rsidTr="006D79A5">
        <w:tc>
          <w:tcPr>
            <w:tcW w:w="1486" w:type="pct"/>
            <w:shd w:val="clear" w:color="auto" w:fill="F2F2F2" w:themeFill="background1" w:themeFillShade="F2"/>
            <w:vAlign w:val="center"/>
          </w:tcPr>
          <w:p w14:paraId="783FC6B8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14:paraId="41B77668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39A5574D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4216DEB1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026A0DF0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CA5C4C3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712F7C6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14:paraId="4DB82665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BC850A6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6E7A3F09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14:paraId="62D1201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4FFC83A2" w14:textId="77777777" w:rsidTr="006D79A5">
        <w:tc>
          <w:tcPr>
            <w:tcW w:w="1486" w:type="pct"/>
            <w:shd w:val="clear" w:color="auto" w:fill="F2F2F2" w:themeFill="background1" w:themeFillShade="F2"/>
          </w:tcPr>
          <w:p w14:paraId="1ECA9852" w14:textId="77777777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14:paraId="5D42351D" w14:textId="77777777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2552BF7C" w14:textId="77777777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288C585" w14:textId="77777777" w:rsidR="00C51E08" w:rsidRPr="00C51E08" w:rsidRDefault="00C51E08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10"/>
          <w:szCs w:val="10"/>
        </w:rPr>
      </w:pPr>
    </w:p>
    <w:p w14:paraId="040E787B" w14:textId="77777777" w:rsidR="00627C0D" w:rsidRPr="00CF178F" w:rsidRDefault="005F0FDE" w:rsidP="00C51E08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="00627C0D" w:rsidRPr="00CF178F">
        <w:rPr>
          <w:rFonts w:ascii="Palatino Linotype" w:hAnsi="Palatino Linotype" w:cs="Arial"/>
          <w:b/>
          <w:sz w:val="20"/>
          <w:szCs w:val="20"/>
        </w:rPr>
        <w:t>:</w:t>
      </w:r>
    </w:p>
    <w:p w14:paraId="3A30AF38" w14:textId="77777777" w:rsidR="00C0169B" w:rsidRDefault="00C0169B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eastAsiaTheme="minorEastAsia" w:hAnsi="Palatino Linotype" w:cs="Arial"/>
          <w:bCs/>
          <w:sz w:val="20"/>
          <w:szCs w:val="20"/>
        </w:rPr>
        <w:t>výběrového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eastAsiaTheme="minorEastAsia" w:hAnsi="Palatino Linotype" w:cs="Arial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eastAsiaTheme="minorEastAsia" w:hAnsi="Palatino Linotype" w:cs="Arial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14:paraId="78BEDB72" w14:textId="77777777" w:rsidR="00881B18" w:rsidRPr="007B4B68" w:rsidRDefault="00881B18" w:rsidP="00881B18">
      <w:pPr>
        <w:ind w:left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C31308">
        <w:rPr>
          <w:rFonts w:ascii="Palatino Linotype" w:hAnsi="Palatino Linotype" w:cs="Arial"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i/>
          <w:sz w:val="20"/>
          <w:szCs w:val="20"/>
        </w:rPr>
        <w:t xml:space="preserve">Účastní-li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14:paraId="4CF59807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14:paraId="04D628E0" w14:textId="77777777" w:rsidR="00881B18" w:rsidRPr="00881B18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6EAD52B" w14:textId="77777777" w:rsidR="00881B18" w:rsidRPr="00A61F69" w:rsidRDefault="00881B18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A00AA84" w14:textId="77777777" w:rsidR="00A61F69" w:rsidRPr="00A61F69" w:rsidRDefault="00A61F69" w:rsidP="00A61F69">
      <w:pPr>
        <w:numPr>
          <w:ilvl w:val="0"/>
          <w:numId w:val="2"/>
        </w:numPr>
        <w:ind w:left="284" w:hanging="284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="00C31308" w:rsidRP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1" layoutInCell="1" allowOverlap="1" wp14:anchorId="46E71709" wp14:editId="2A6B7CBA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14:paraId="269A3FE7" w14:textId="77777777" w:rsidR="005F0FDE" w:rsidRPr="005F0FDE" w:rsidRDefault="005F0FDE" w:rsidP="005F0FDE">
      <w:pPr>
        <w:pStyle w:val="Odstavecseseznamem"/>
        <w:ind w:left="548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4946" w:type="pct"/>
        <w:tblLayout w:type="fixed"/>
        <w:tblLook w:val="04A0" w:firstRow="1" w:lastRow="0" w:firstColumn="1" w:lastColumn="0" w:noHBand="0" w:noVBand="1"/>
      </w:tblPr>
      <w:tblGrid>
        <w:gridCol w:w="4957"/>
        <w:gridCol w:w="284"/>
        <w:gridCol w:w="2137"/>
        <w:gridCol w:w="495"/>
        <w:gridCol w:w="1651"/>
      </w:tblGrid>
      <w:tr w:rsidR="005F0FDE" w:rsidRPr="00A61F69" w14:paraId="366EA4A2" w14:textId="77777777" w:rsidTr="006D79A5">
        <w:tc>
          <w:tcPr>
            <w:tcW w:w="5000" w:type="pct"/>
            <w:gridSpan w:val="5"/>
            <w:shd w:val="solid" w:color="auto" w:fill="auto"/>
            <w:vAlign w:val="center"/>
          </w:tcPr>
          <w:p w14:paraId="0692525E" w14:textId="77777777" w:rsidR="005F0FDE" w:rsidRPr="00A61F69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A17D5EF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4DAEB570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9" w:type="pct"/>
            <w:shd w:val="pct10" w:color="auto" w:fill="auto"/>
          </w:tcPr>
          <w:p w14:paraId="42737AAE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22" w:type="pct"/>
          </w:tcPr>
          <w:p w14:paraId="63363BC0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60" w:type="pct"/>
            <w:shd w:val="pct10" w:color="auto" w:fill="auto"/>
          </w:tcPr>
          <w:p w14:paraId="329F2D16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867" w:type="pct"/>
          </w:tcPr>
          <w:p w14:paraId="1F9173E5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6589B9DE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76FF13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398" w:type="pct"/>
            <w:gridSpan w:val="4"/>
          </w:tcPr>
          <w:p w14:paraId="43246028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62B5197" w14:textId="77777777" w:rsidTr="006D79A5">
        <w:tc>
          <w:tcPr>
            <w:tcW w:w="2602" w:type="pct"/>
            <w:shd w:val="clear" w:color="auto" w:fill="F2F2F2" w:themeFill="background1" w:themeFillShade="F2"/>
          </w:tcPr>
          <w:p w14:paraId="6FAC639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398" w:type="pct"/>
            <w:gridSpan w:val="4"/>
          </w:tcPr>
          <w:p w14:paraId="4375B847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1A598CD1" w14:textId="77777777" w:rsidTr="006D79A5">
        <w:trPr>
          <w:trHeight w:val="568"/>
        </w:trPr>
        <w:tc>
          <w:tcPr>
            <w:tcW w:w="2602" w:type="pct"/>
            <w:shd w:val="clear" w:color="auto" w:fill="F2F2F2" w:themeFill="background1" w:themeFillShade="F2"/>
          </w:tcPr>
          <w:p w14:paraId="16E5C08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398" w:type="pct"/>
            <w:gridSpan w:val="4"/>
          </w:tcPr>
          <w:p w14:paraId="07170CFA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787BF807" w14:textId="77777777" w:rsidR="00881B18" w:rsidRDefault="00881B18" w:rsidP="00237B05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1"/>
      <w:footerReference w:type="default" r:id="rId12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B847" w14:textId="77777777" w:rsidR="008D1FD1" w:rsidRDefault="008D1FD1" w:rsidP="00193245">
      <w:r>
        <w:separator/>
      </w:r>
    </w:p>
  </w:endnote>
  <w:endnote w:type="continuationSeparator" w:id="0">
    <w:p w14:paraId="1F92F572" w14:textId="77777777" w:rsidR="008D1FD1" w:rsidRDefault="008D1FD1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0AF4A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EA06" w14:textId="77777777" w:rsidR="008D1FD1" w:rsidRDefault="008D1FD1" w:rsidP="00193245">
      <w:r>
        <w:separator/>
      </w:r>
    </w:p>
  </w:footnote>
  <w:footnote w:type="continuationSeparator" w:id="0">
    <w:p w14:paraId="76325932" w14:textId="77777777" w:rsidR="008D1FD1" w:rsidRDefault="008D1FD1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2880" w14:textId="7DF789B6" w:rsidR="007B4B68" w:rsidRPr="007B4B68" w:rsidRDefault="007B4B68" w:rsidP="002B1AE7">
    <w:pPr>
      <w:tabs>
        <w:tab w:val="center" w:pos="4536"/>
        <w:tab w:val="right" w:pos="9072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687410545">
    <w:abstractNumId w:val="0"/>
  </w:num>
  <w:num w:numId="2" w16cid:durableId="1377975187">
    <w:abstractNumId w:val="1"/>
  </w:num>
  <w:num w:numId="3" w16cid:durableId="708458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5B3"/>
    <w:rsid w:val="00020876"/>
    <w:rsid w:val="000218CB"/>
    <w:rsid w:val="00026A29"/>
    <w:rsid w:val="00051E26"/>
    <w:rsid w:val="000720B7"/>
    <w:rsid w:val="000C0D31"/>
    <w:rsid w:val="000F3B38"/>
    <w:rsid w:val="00101695"/>
    <w:rsid w:val="001062A0"/>
    <w:rsid w:val="00193245"/>
    <w:rsid w:val="001C676D"/>
    <w:rsid w:val="001E2C68"/>
    <w:rsid w:val="00237B05"/>
    <w:rsid w:val="00290FD4"/>
    <w:rsid w:val="002B1AE7"/>
    <w:rsid w:val="002B70EF"/>
    <w:rsid w:val="00330CF2"/>
    <w:rsid w:val="00365F4F"/>
    <w:rsid w:val="0039181C"/>
    <w:rsid w:val="00392A9E"/>
    <w:rsid w:val="00395CD4"/>
    <w:rsid w:val="003C04F7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B6E53"/>
    <w:rsid w:val="006D79A5"/>
    <w:rsid w:val="007425B3"/>
    <w:rsid w:val="00765701"/>
    <w:rsid w:val="007B4B68"/>
    <w:rsid w:val="007C1442"/>
    <w:rsid w:val="007D50DA"/>
    <w:rsid w:val="007E4D1B"/>
    <w:rsid w:val="00853BDB"/>
    <w:rsid w:val="00881B18"/>
    <w:rsid w:val="00890E88"/>
    <w:rsid w:val="008B4E34"/>
    <w:rsid w:val="008D1FD1"/>
    <w:rsid w:val="00910E88"/>
    <w:rsid w:val="00955768"/>
    <w:rsid w:val="00991A04"/>
    <w:rsid w:val="009D0797"/>
    <w:rsid w:val="009E1167"/>
    <w:rsid w:val="009E6AF3"/>
    <w:rsid w:val="00A05FA8"/>
    <w:rsid w:val="00A5028B"/>
    <w:rsid w:val="00A61F69"/>
    <w:rsid w:val="00AF0256"/>
    <w:rsid w:val="00B13423"/>
    <w:rsid w:val="00B52F52"/>
    <w:rsid w:val="00B70A15"/>
    <w:rsid w:val="00BA167D"/>
    <w:rsid w:val="00BB5E5D"/>
    <w:rsid w:val="00C0169B"/>
    <w:rsid w:val="00C01E92"/>
    <w:rsid w:val="00C31308"/>
    <w:rsid w:val="00C31F4A"/>
    <w:rsid w:val="00C51E08"/>
    <w:rsid w:val="00C937EE"/>
    <w:rsid w:val="00CE4914"/>
    <w:rsid w:val="00D067A0"/>
    <w:rsid w:val="00D144D0"/>
    <w:rsid w:val="00D55A51"/>
    <w:rsid w:val="00D92DBF"/>
    <w:rsid w:val="00DE0EF4"/>
    <w:rsid w:val="00E0558A"/>
    <w:rsid w:val="00E10E2D"/>
    <w:rsid w:val="00E25A3A"/>
    <w:rsid w:val="00E31AE7"/>
    <w:rsid w:val="00E550A5"/>
    <w:rsid w:val="00E81513"/>
    <w:rsid w:val="00EB3D13"/>
    <w:rsid w:val="00EE66D2"/>
    <w:rsid w:val="00F05BC4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42A95"/>
  <w15:docId w15:val="{B4A63800-516A-4A80-8F05-9A96D236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Löfflerová Marta</cp:lastModifiedBy>
  <cp:revision>2</cp:revision>
  <dcterms:created xsi:type="dcterms:W3CDTF">2026-03-05T09:39:00Z</dcterms:created>
  <dcterms:modified xsi:type="dcterms:W3CDTF">2026-03-05T09:39:00Z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