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18" w:rsidRDefault="00883918" w:rsidP="00170A8D">
      <w:pPr>
        <w:jc w:val="center"/>
        <w:rPr>
          <w:rFonts w:ascii="Cambria" w:hAnsi="Cambria" w:cs="Cambria"/>
          <w:b/>
          <w:bCs/>
        </w:rPr>
      </w:pPr>
      <w:bookmarkStart w:id="0" w:name="_GoBack"/>
      <w:bookmarkEnd w:id="0"/>
      <w:r w:rsidRPr="00E1133B">
        <w:rPr>
          <w:rFonts w:ascii="Cambria" w:hAnsi="Cambria" w:cs="Cambria"/>
          <w:b/>
          <w:bCs/>
        </w:rPr>
        <w:t>1. Technická specifikace vozidla, nástavby a vyklápěče</w:t>
      </w:r>
    </w:p>
    <w:p w:rsidR="00883918" w:rsidRDefault="00883918" w:rsidP="00170A8D">
      <w:pPr>
        <w:jc w:val="center"/>
        <w:rPr>
          <w:rFonts w:ascii="Cambria" w:hAnsi="Cambria" w:cs="Cambria"/>
          <w:b/>
          <w:bCs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096"/>
        <w:gridCol w:w="2121"/>
        <w:gridCol w:w="1491"/>
      </w:tblGrid>
      <w:tr w:rsidR="00883918" w:rsidRPr="00E1133B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Technický požadavek zadavatele</w:t>
            </w:r>
          </w:p>
        </w:tc>
        <w:tc>
          <w:tcPr>
            <w:tcW w:w="2121" w:type="dxa"/>
            <w:shd w:val="clear" w:color="auto" w:fill="BFBFBF"/>
            <w:noWrap/>
            <w:vAlign w:val="center"/>
          </w:tcPr>
          <w:p w:rsidR="00883918" w:rsidRPr="00E1133B" w:rsidRDefault="00883918" w:rsidP="00E1133B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Vymezení parametru</w:t>
            </w:r>
          </w:p>
        </w:tc>
        <w:tc>
          <w:tcPr>
            <w:tcW w:w="1491" w:type="dxa"/>
            <w:shd w:val="clear" w:color="auto" w:fill="BFBFBF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Splnění požadavku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Podvozek v KOMUNÁLNÍM PROVEDENÍ:</w:t>
            </w:r>
          </w:p>
        </w:tc>
        <w:tc>
          <w:tcPr>
            <w:tcW w:w="3612" w:type="dxa"/>
            <w:gridSpan w:val="2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[obchodní značka / typ / model]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Podvozek v komunálním provedení s celkovou hmotností leg / tech.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18 / 19 t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Konfigurace náprav 4x2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Standardní rozvor náprav dle výrobce podvozku v rozmezí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max. 3 300 – 3 600 mm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Průjezdná šířka vozidla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max. 2 550 mm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Průjezdná výška vozidla včetně nástavby pro svoz odpadu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max. 3 600 mm 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Přední náprava odpružená listovými pery s nosností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7 500 kg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Zadní náprava odpružená pneumaticky s nosností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11 500 kg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Zadní náprava osazená automatickými podmetacími řetězy pro provoz vozidla v zimních podmínkách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Motor Euro VI vznětový přeplňovaný o výkonu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200 kW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PTO motoru pro přímé připojení hydraulického čerpadla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Automatické řazení převodových stupňů, s možností ruční volby řazení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Uzávěrka diferenciálu zadní nápravy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Kotoučové brzdy vozidla na všech nápravách minimálně s ABS, ASR nebo ekvivalentním technickým řešením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Motorová brzda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Parkovací brzda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Asistent rozjezdu do kopce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Zastávková brzda pro vozidla v provozu s nástavbou pro svoz odpadu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Pneumatiky vozidla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315 / 80 R 22,5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Rezervní kolo s držákem na podvozku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Palivový systém a systém Ad blue vyhřívaný pro zimní provoz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Nádrž PHM s uzamykatelným víčkem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200 lit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Nádrž Adblue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60 lit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Ochranné mřížky předních světlometů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Ocelový nárazník nebo přední zábrana proti podjetí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Celo-ocelová krátká denní kabina barva RAL 2011 komunální oranžová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Okno v zadní stěně kabiny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Vnější sluneční clona nad čelním oknem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Odpružené sedadlo řidiče + lavice nebo sedadla pro dva spolujezdce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314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Palubní počítač v českém jazyce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352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Indikace zatížení zadní nápravy vozidla na palubním počítači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Digitální tafograf a autorádio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 xml:space="preserve">Klimatizace 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Elektricky ovládaná, vyhřívaná zpětná zrcátka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Elektricky ovládaná okna dveří kabiny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Palubní zásuvka 12 / 24 V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Výstražné majáky na střeše kabiny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2 ks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Světla denního svícení LED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09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Povinná výbava vozidla dle vyhlášky č. 341/2002 Sb. a 100/2003 Sb.</w:t>
            </w:r>
          </w:p>
        </w:tc>
        <w:tc>
          <w:tcPr>
            <w:tcW w:w="212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</w:tbl>
    <w:p w:rsidR="00883918" w:rsidRPr="00F35DA3" w:rsidRDefault="00883918" w:rsidP="00E1133B">
      <w:pPr>
        <w:rPr>
          <w:rFonts w:ascii="Arial Narrow" w:hAnsi="Arial Narrow" w:cs="Arial Narrow"/>
          <w:sz w:val="22"/>
          <w:szCs w:val="22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516"/>
        <w:gridCol w:w="1665"/>
        <w:gridCol w:w="36"/>
        <w:gridCol w:w="1510"/>
      </w:tblGrid>
      <w:tr w:rsidR="00883918" w:rsidRPr="00E1133B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Technický požadavek zadavatele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Vymezení parametru</w:t>
            </w:r>
          </w:p>
        </w:tc>
        <w:tc>
          <w:tcPr>
            <w:tcW w:w="1510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Splnění požadavku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Nástavba PRO SVOZ ODPADU:</w:t>
            </w:r>
          </w:p>
        </w:tc>
        <w:tc>
          <w:tcPr>
            <w:tcW w:w="3211" w:type="dxa"/>
            <w:gridSpan w:val="3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[obchodní značka / typ / model]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Konstrukce nástavby s lineárním stlačováním a protitlakem výtlačného štítu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Zásobník nástavby o využitelném objemu bez nakládací vany dle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14m3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Konstrukce stěn zásobníku s hladkými boky bez vnějšího přídavného žebrování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Minimální konstrukční síla zásobníku nástavby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Podlaha v celé délce nástavby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Stěny v celé délce nástavby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Strop v celé délce nástavby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5 mm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4 mm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3</w:t>
            </w:r>
            <w:r w:rsidRPr="00E1133B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Příčný záchytný žlab tekuté složky odpadu ve dně zásobníku s uzavíracím ventilem nebo obdobné ekvivalentní technické řešení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Servisní dvířka na boku nástavby vpravo, nebo vlevo s přístupovým žebříčkem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Vytlačovací štít zásobníku s oboustranným bočním vedením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A1C3D">
            <w:pPr>
              <w:pStyle w:val="ListParagraph"/>
              <w:ind w:left="0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Vodící dráhy výtlačného štítu v bocích zásobníku vlevo a vpravo s otěru-vzdorného materiálu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]</w:t>
            </w: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Utěsnění předního a zadního čela zásobníku proti úniku kapalné složky odpadu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Výška utěsnění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500 mm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Pracovní světla vpravo a vlevo pod nástavbou pro osvětlení zadní nápravy vozidla 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1+1 ks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Nakládací vana zásobníku o využitelném objemu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2,2 m3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Minimální konstrukční síla nakládací vany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Podlaha s otěru-vzdorného materiálu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Stěny s otěru-vzdorného materiálu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8 mm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6 mm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Pracovní světlo uvnitř nakládací vany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510" w:type="dxa"/>
            <w:noWrap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Pracovní světlo pro osvětlení nakládacího prostoru vpravo a vlevo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1+1 ks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Výstražný maják s ochranou klecí vpravo a vlevo na nakládací vaně v horním obrysu vozidla nezvyšující průjezdnou výšku vozidla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1+1 ks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107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 xml:space="preserve">Lisovací mechanizmus s posuvnou nosnou deskou a nakládací lopatou 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 xml:space="preserve">Výkon při lisování  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Plnící kapacita lisu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Funkce činnosti lisu v souběhu s činností vyklápěče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23 t / m2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min. 8m3 / min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Oboustranné boční vedení lisovacího mechanizmu s otěru vzdorného materiálu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Konstrukční síla vodících drah lisovacího mechanizmu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min. 8 mm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ANO 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883918" w:rsidRPr="006A1C3D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6A1C3D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Hydraulické pístnice pohybu nosné desky umístněné tak, aby bylo zabráněno jejich poškození při činnosti lisu v souběhu s nakládáním odpadu (umístnění mimo vnitřní profil nakládací vany, nebo jiná ochrana proti poškození)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6A1C3D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Oboustranné ovládání lisovacího mechanizmu, vpravo s možností ovládání jednotlivých fází lisovacího mechanizmu 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E1133B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6A1C3D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Řídicí systém ovládání a komunikace nástavby s datovou sběrnicí Can-bus</w:t>
            </w:r>
          </w:p>
          <w:p w:rsidR="00883918" w:rsidRPr="006A1C3D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Ochrana krytí proti poškození vodou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min. IPE 64</w:t>
            </w:r>
          </w:p>
        </w:tc>
        <w:tc>
          <w:tcPr>
            <w:tcW w:w="1510" w:type="dxa"/>
            <w:noWrap/>
            <w:vAlign w:val="center"/>
          </w:tcPr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6A1C3D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6A1C3D">
              <w:rPr>
                <w:rFonts w:ascii="Cambria" w:hAnsi="Cambria" w:cs="Cambria"/>
                <w:sz w:val="22"/>
                <w:szCs w:val="22"/>
              </w:rPr>
              <w:t>[hodnota]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Ovládací panel nástavby v kabině vozidla s barevným monitorem a ovládacím menu v českém jazyce minimálně s: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Integrovaným výstupem zadní bezpečnostní kamery na ovládacím panelu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Možností nastavení lisovacího tlaku pro jednotlivé druhy odpadu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(směsný / papír / plast / sklo / bio odpad)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Registrem provozních podmínek nástavby, registrace minimálně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(mth provozu, počtu lisovacích cyklů / cyklů vyklápěče)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Diagnostickým a servisním menu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Automatické centrální mazání nástavby v případě čtyřech a více mazacích bodů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Nástavba v barvě RAL 2011 komunální oranžová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Technický požadavek zadavatele</w:t>
            </w:r>
          </w:p>
        </w:tc>
        <w:tc>
          <w:tcPr>
            <w:tcW w:w="1665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Vymezení parametru</w:t>
            </w:r>
          </w:p>
        </w:tc>
        <w:tc>
          <w:tcPr>
            <w:tcW w:w="1546" w:type="dxa"/>
            <w:gridSpan w:val="2"/>
            <w:shd w:val="clear" w:color="auto" w:fill="BFBFBF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Splnění požadavku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Vyklápěč ODPADOVÝCH NÁDOB:</w:t>
            </w:r>
          </w:p>
        </w:tc>
        <w:tc>
          <w:tcPr>
            <w:tcW w:w="3211" w:type="dxa"/>
            <w:gridSpan w:val="3"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  <w:highlight w:val="lightGray"/>
              </w:rPr>
            </w:pPr>
            <w:r w:rsidRPr="00E1133B">
              <w:rPr>
                <w:rFonts w:ascii="Cambria" w:hAnsi="Cambria" w:cs="Cambria"/>
                <w:sz w:val="22"/>
                <w:szCs w:val="22"/>
                <w:highlight w:val="lightGray"/>
              </w:rPr>
              <w:t>[obchodní značka / typ / model]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Vyklápěč odpadových nádob v uzavřeném děleném provedení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Dvou-rychlostní provedení vyklápěče 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čas naložení pro nádoby o objemu (80-360 lit)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čas naložení pro nádoby o objemu (660-1300 lit)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max. 8 s.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max. 10 s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ANO / NE 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Hřebenový převod vyklápěče vpravo a vlevo pro zdvih a spouštění odpadových nádob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Ovládání zdvihu a spouštění odpadových nádob hydraulicky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Oboustranné manuální ovládání vyklápěče ovládací pákou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Universální provedení vyklápěče pro nakládání odpadových nádob 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EN 840-1 o objemu (80-360 lit) 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EN 840-2/3 o objemu (660-1300 lit)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DIN 6629 o objemu 110 lit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Automaticky ovládaná záchytná hrazda pro otevírání nádob</w:t>
            </w:r>
          </w:p>
          <w:p w:rsidR="00883918" w:rsidRPr="00E1133B" w:rsidRDefault="00883918" w:rsidP="00636F3C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EN 840-2/3 o objemu (660-1300 lit)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695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Závěsný hřeben s jištěním pro nakládání odpadových nádob </w:t>
            </w:r>
          </w:p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2 ks nádob 80 – 360 lit</w:t>
            </w:r>
          </w:p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1 ks nádoby 660-1100 lit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Výklopná DIN ramena se zámkem odpadových nádob pro nakládání odpadových nádob</w:t>
            </w:r>
          </w:p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1 ks nádob 770 -1300 lit 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Ochrana obsluhy na stupačce proti zachycení vyklápěčem 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s průhledem do nakládacího prostoru 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Závěsy na výsypném otvoru vyklápěče proti úletu odpadu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Montáž vyklápěče na nakládací vanu s otevíratelným rámem dle DIN 30731 pro vkládání objemného odpadu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Centrální ruční nebo automatické mazání vyklápěče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Vyklápěč v barvě RAL 2011 komunální oranžová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9727" w:type="dxa"/>
            <w:gridSpan w:val="4"/>
            <w:shd w:val="clear" w:color="auto" w:fill="BFBFBF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 xml:space="preserve">Ostatní legislativní požadavky 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Vozidlo, nástavba a vyklápěč jako funkční celek, musí splňovat veškeré podmínky provozu dle příslušných dotčených vyhlášek a norem zejména EN 1501-1A v platném znění ke dni uvedení do provozu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</w:p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Dodání TP vozidla včetně zápisu nástavby v den předání vozidla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 xml:space="preserve">Návod k obsluze, údržbě a katalog ND  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Prohlášení o shodě pro jednotlivé technické celky (podvozek nástavba, vyklápěč, podmetací řetězy)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Návody k obsluze a údržbě v ČJ pro jednotlivé technické celky (podvozek nástavba, vyklápěč, podmetací řetězy)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636F3C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9727" w:type="dxa"/>
            <w:gridSpan w:val="4"/>
            <w:shd w:val="clear" w:color="auto" w:fill="BFBFBF"/>
            <w:vAlign w:val="center"/>
          </w:tcPr>
          <w:p w:rsidR="00883918" w:rsidRPr="00E1133B" w:rsidRDefault="00883918" w:rsidP="00636F3C">
            <w:pPr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Servisní služby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E1133B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Náklady spojené s pravidelnými servisními úkony a garančními opravami podvozku vozidla včetně nákladů spojených s dopravou do místa provádění servisu, nebo mobilního servisu pod dobu záruky tj. min. 36 měsíců.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E1133B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E1133B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883918" w:rsidRPr="00F35DA3">
        <w:trPr>
          <w:trHeight w:val="288"/>
          <w:jc w:val="center"/>
        </w:trPr>
        <w:tc>
          <w:tcPr>
            <w:tcW w:w="6516" w:type="dxa"/>
            <w:vAlign w:val="center"/>
          </w:tcPr>
          <w:p w:rsidR="00883918" w:rsidRPr="00E1133B" w:rsidRDefault="00883918" w:rsidP="00E1133B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Náklady spojené s pravidelnými servisními úkony a garančními opravami nástavby a vyklápěče včetně nákladů spojených s dopravou do místa provádění servisu, nebo mobilního servisu pod dobu záruky tj. min. 36 měsíců.</w:t>
            </w:r>
          </w:p>
        </w:tc>
        <w:tc>
          <w:tcPr>
            <w:tcW w:w="1665" w:type="dxa"/>
            <w:noWrap/>
            <w:vAlign w:val="center"/>
          </w:tcPr>
          <w:p w:rsidR="00883918" w:rsidRPr="00E1133B" w:rsidRDefault="00883918" w:rsidP="00E1133B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46" w:type="dxa"/>
            <w:gridSpan w:val="2"/>
            <w:noWrap/>
            <w:vAlign w:val="center"/>
          </w:tcPr>
          <w:p w:rsidR="00883918" w:rsidRPr="00E1133B" w:rsidRDefault="00883918" w:rsidP="00E1133B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</w:tbl>
    <w:p w:rsidR="00883918" w:rsidRPr="005F04C8" w:rsidRDefault="00883918">
      <w:pPr>
        <w:rPr>
          <w:rFonts w:ascii="Calibri" w:hAnsi="Calibri" w:cs="Calibri"/>
          <w:sz w:val="22"/>
          <w:szCs w:val="22"/>
        </w:rPr>
      </w:pPr>
    </w:p>
    <w:sectPr w:rsidR="00883918" w:rsidRPr="005F04C8" w:rsidSect="008D6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918" w:rsidRDefault="00883918" w:rsidP="00F1577A">
      <w:r>
        <w:separator/>
      </w:r>
    </w:p>
  </w:endnote>
  <w:endnote w:type="continuationSeparator" w:id="0">
    <w:p w:rsidR="00883918" w:rsidRDefault="00883918" w:rsidP="00F1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Default="008839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Pr="008C0291" w:rsidRDefault="00883918">
    <w:pPr>
      <w:pStyle w:val="Footer"/>
      <w:rPr>
        <w:rFonts w:ascii="Cambria" w:hAnsi="Cambria" w:cs="Cambria"/>
      </w:rPr>
    </w:pPr>
    <w:r w:rsidRPr="008C0291">
      <w:rPr>
        <w:rFonts w:ascii="Cambria" w:hAnsi="Cambria" w:cs="Cambria"/>
        <w:b/>
        <w:bCs/>
        <w:color w:val="7F7F7F"/>
        <w:lang w:eastAsia="ar-SA"/>
      </w:rPr>
      <w:t>Příloha č. 4 Technická specifikace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Default="00883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918" w:rsidRDefault="00883918" w:rsidP="00F1577A">
      <w:r>
        <w:separator/>
      </w:r>
    </w:p>
  </w:footnote>
  <w:footnote w:type="continuationSeparator" w:id="0">
    <w:p w:rsidR="00883918" w:rsidRDefault="00883918" w:rsidP="00F1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Default="008839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Pr="008C0291" w:rsidRDefault="00883918">
    <w:pPr>
      <w:pStyle w:val="Header"/>
      <w:rPr>
        <w:rFonts w:ascii="Cambria" w:hAnsi="Cambria" w:cs="Cambria"/>
      </w:rPr>
    </w:pPr>
    <w:bookmarkStart w:id="1" w:name="_Toc454639009"/>
    <w:r w:rsidRPr="008C0291">
      <w:rPr>
        <w:rFonts w:ascii="Cambria" w:hAnsi="Cambria" w:cs="Cambria"/>
      </w:rPr>
      <w:t>„</w:t>
    </w:r>
    <w:r>
      <w:rPr>
        <w:rFonts w:ascii="Cambria" w:hAnsi="Cambria" w:cs="Cambria"/>
      </w:rPr>
      <w:t>Vozidlo pro svoz komunálního odpadu</w:t>
    </w:r>
    <w:r w:rsidRPr="008C0291">
      <w:rPr>
        <w:rFonts w:ascii="Cambria" w:hAnsi="Cambria" w:cs="Cambria"/>
      </w:rPr>
      <w:t xml:space="preserve"> TDS“</w: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918" w:rsidRDefault="008839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240"/>
    <w:rsid w:val="00073C4C"/>
    <w:rsid w:val="000A7F33"/>
    <w:rsid w:val="00154D4C"/>
    <w:rsid w:val="00160C36"/>
    <w:rsid w:val="00170A8D"/>
    <w:rsid w:val="00190707"/>
    <w:rsid w:val="00190716"/>
    <w:rsid w:val="001953A5"/>
    <w:rsid w:val="001A5B53"/>
    <w:rsid w:val="00227CA6"/>
    <w:rsid w:val="00265C15"/>
    <w:rsid w:val="002927B8"/>
    <w:rsid w:val="002A426A"/>
    <w:rsid w:val="002D1452"/>
    <w:rsid w:val="002F4479"/>
    <w:rsid w:val="00336EF8"/>
    <w:rsid w:val="003442CF"/>
    <w:rsid w:val="0036737B"/>
    <w:rsid w:val="0038249F"/>
    <w:rsid w:val="003A6A10"/>
    <w:rsid w:val="003D0307"/>
    <w:rsid w:val="003E7B01"/>
    <w:rsid w:val="0049035F"/>
    <w:rsid w:val="004A0845"/>
    <w:rsid w:val="004B7CBD"/>
    <w:rsid w:val="004C1A41"/>
    <w:rsid w:val="00584557"/>
    <w:rsid w:val="00596521"/>
    <w:rsid w:val="005976D3"/>
    <w:rsid w:val="005B77EE"/>
    <w:rsid w:val="005C520A"/>
    <w:rsid w:val="005C6AE5"/>
    <w:rsid w:val="005F04C8"/>
    <w:rsid w:val="005F4D8C"/>
    <w:rsid w:val="005F614D"/>
    <w:rsid w:val="00616347"/>
    <w:rsid w:val="00636E09"/>
    <w:rsid w:val="00636F3C"/>
    <w:rsid w:val="00650036"/>
    <w:rsid w:val="00652D01"/>
    <w:rsid w:val="00652D98"/>
    <w:rsid w:val="006A1C3D"/>
    <w:rsid w:val="006A4E96"/>
    <w:rsid w:val="006B14A1"/>
    <w:rsid w:val="00705AFA"/>
    <w:rsid w:val="007404C6"/>
    <w:rsid w:val="00746E95"/>
    <w:rsid w:val="00782908"/>
    <w:rsid w:val="007E0604"/>
    <w:rsid w:val="00853E89"/>
    <w:rsid w:val="00861871"/>
    <w:rsid w:val="00883918"/>
    <w:rsid w:val="008C0291"/>
    <w:rsid w:val="008D69C3"/>
    <w:rsid w:val="008F77B2"/>
    <w:rsid w:val="009237B4"/>
    <w:rsid w:val="009424AC"/>
    <w:rsid w:val="009872B5"/>
    <w:rsid w:val="009942B4"/>
    <w:rsid w:val="009D4443"/>
    <w:rsid w:val="00A227AB"/>
    <w:rsid w:val="00A24D8C"/>
    <w:rsid w:val="00A25152"/>
    <w:rsid w:val="00A26D0C"/>
    <w:rsid w:val="00A97BE9"/>
    <w:rsid w:val="00AD4018"/>
    <w:rsid w:val="00B16FF7"/>
    <w:rsid w:val="00B3768E"/>
    <w:rsid w:val="00B646BF"/>
    <w:rsid w:val="00B708CA"/>
    <w:rsid w:val="00B81EC8"/>
    <w:rsid w:val="00BE3EB8"/>
    <w:rsid w:val="00C13D50"/>
    <w:rsid w:val="00C65A6F"/>
    <w:rsid w:val="00C77D65"/>
    <w:rsid w:val="00C86723"/>
    <w:rsid w:val="00C95240"/>
    <w:rsid w:val="00CC3660"/>
    <w:rsid w:val="00CD0871"/>
    <w:rsid w:val="00CD1CCE"/>
    <w:rsid w:val="00D03A95"/>
    <w:rsid w:val="00D36D2C"/>
    <w:rsid w:val="00D475E5"/>
    <w:rsid w:val="00D63735"/>
    <w:rsid w:val="00D6484C"/>
    <w:rsid w:val="00D90353"/>
    <w:rsid w:val="00D90ABA"/>
    <w:rsid w:val="00DB7F17"/>
    <w:rsid w:val="00DF02D2"/>
    <w:rsid w:val="00DF49BE"/>
    <w:rsid w:val="00E05E40"/>
    <w:rsid w:val="00E1133B"/>
    <w:rsid w:val="00ED75A7"/>
    <w:rsid w:val="00F0366C"/>
    <w:rsid w:val="00F1577A"/>
    <w:rsid w:val="00F270A1"/>
    <w:rsid w:val="00F35DA3"/>
    <w:rsid w:val="00FC6613"/>
    <w:rsid w:val="00FD66E2"/>
    <w:rsid w:val="00FF3643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D14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0A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8D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al"/>
    <w:uiPriority w:val="99"/>
    <w:rsid w:val="00DB7F17"/>
    <w:pPr>
      <w:ind w:left="708"/>
    </w:pPr>
  </w:style>
  <w:style w:type="paragraph" w:styleId="Header">
    <w:name w:val="header"/>
    <w:basedOn w:val="Normal"/>
    <w:link w:val="HeaderChar"/>
    <w:uiPriority w:val="99"/>
    <w:rsid w:val="00F15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77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0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16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E1133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4</Pages>
  <Words>1228</Words>
  <Characters>7251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 Javůrek</dc:creator>
  <cp:keywords/>
  <dc:description/>
  <cp:lastModifiedBy>Daniel Javůrek</cp:lastModifiedBy>
  <cp:revision>6</cp:revision>
  <dcterms:created xsi:type="dcterms:W3CDTF">2017-11-29T12:16:00Z</dcterms:created>
  <dcterms:modified xsi:type="dcterms:W3CDTF">2017-12-06T13:11:00Z</dcterms:modified>
</cp:coreProperties>
</file>